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02F1" w:rsidRPr="00894689" w:rsidRDefault="00504F0C" w:rsidP="00EC02F1">
      <w:pPr>
        <w:pBdr>
          <w:top w:val="single" w:sz="4" w:space="1" w:color="auto"/>
        </w:pBdr>
        <w:spacing w:line="0" w:lineRule="atLeast"/>
        <w:rPr>
          <w:color w:val="404040"/>
          <w:sz w:val="34"/>
        </w:rPr>
      </w:pPr>
      <w:r>
        <w:rPr>
          <w:noProof/>
          <w:lang w:val="cs-CZ"/>
        </w:rPr>
        <w:pict>
          <v:shapetype id="_x0000_t202" coordsize="21600,21600" o:spt="202" path="m,l,21600r21600,l21600,xe">
            <v:stroke joinstyle="miter"/>
            <v:path gradientshapeok="t" o:connecttype="rect"/>
          </v:shapetype>
          <v:shape id="_x0000_s1035" type="#_x0000_t202" style="position:absolute;margin-left:358.7pt;margin-top:6.5pt;width:95.25pt;height:58.75pt;z-index:251655168" strokecolor="white">
            <v:textbox>
              <w:txbxContent>
                <w:p w:rsidR="00EC02F1" w:rsidRDefault="00504F0C" w:rsidP="00EC02F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25pt;height:55.5pt">
                        <v:imagedata r:id="rId7" o:title="stažený soubor"/>
                      </v:shape>
                    </w:pict>
                  </w:r>
                </w:p>
              </w:txbxContent>
            </v:textbox>
          </v:shape>
        </w:pict>
      </w:r>
      <w:r w:rsidR="00EC02F1">
        <w:rPr>
          <w:color w:val="404040"/>
          <w:sz w:val="34"/>
        </w:rPr>
        <w:t>RECTOR’S DIRECTIVE</w:t>
      </w:r>
    </w:p>
    <w:p w:rsidR="00EC02F1" w:rsidRPr="00894689" w:rsidRDefault="00EC02F1" w:rsidP="00EC02F1">
      <w:pPr>
        <w:spacing w:line="41" w:lineRule="exact"/>
        <w:rPr>
          <w:rFonts w:ascii="Times New Roman" w:eastAsia="Times New Roman" w:hAnsi="Times New Roman"/>
          <w:sz w:val="24"/>
        </w:rPr>
      </w:pPr>
    </w:p>
    <w:p w:rsidR="00EC02F1" w:rsidRPr="001E445C" w:rsidRDefault="00EC02F1" w:rsidP="00EC02F1">
      <w:pPr>
        <w:spacing w:line="0" w:lineRule="atLeast"/>
        <w:rPr>
          <w:b/>
          <w:color w:val="404040"/>
          <w:sz w:val="38"/>
        </w:rPr>
      </w:pPr>
      <w:r w:rsidRPr="001E445C">
        <w:rPr>
          <w:b/>
          <w:color w:val="404040"/>
          <w:sz w:val="38"/>
        </w:rPr>
        <w:t>No. 2/2012</w:t>
      </w:r>
    </w:p>
    <w:p w:rsidR="00EC02F1" w:rsidRDefault="00EC02F1" w:rsidP="00EC02F1">
      <w:pPr>
        <w:pBdr>
          <w:bottom w:val="single" w:sz="4" w:space="1" w:color="auto"/>
        </w:pBdr>
        <w:spacing w:line="357" w:lineRule="exact"/>
        <w:rPr>
          <w:rFonts w:ascii="Times New Roman" w:eastAsia="Times New Roman" w:hAnsi="Times New Roman"/>
          <w:sz w:val="24"/>
        </w:rPr>
      </w:pPr>
    </w:p>
    <w:p w:rsidR="00EC02F1" w:rsidRDefault="00EC02F1">
      <w:pPr>
        <w:spacing w:line="357" w:lineRule="exact"/>
        <w:rPr>
          <w:rFonts w:ascii="Times New Roman" w:eastAsia="Times New Roman" w:hAnsi="Times New Roman"/>
          <w:sz w:val="24"/>
        </w:rPr>
      </w:pPr>
    </w:p>
    <w:p w:rsidR="00F26C35" w:rsidRPr="00B271F0" w:rsidRDefault="00B271F0" w:rsidP="00023EA4">
      <w:pPr>
        <w:spacing w:line="216" w:lineRule="auto"/>
        <w:jc w:val="center"/>
        <w:rPr>
          <w:sz w:val="40"/>
        </w:rPr>
      </w:pPr>
      <w:r>
        <w:rPr>
          <w:sz w:val="40"/>
        </w:rPr>
        <w:t>Award and payment of the CULS Rector</w:t>
      </w:r>
      <w:r w:rsidR="001E445C">
        <w:rPr>
          <w:sz w:val="40"/>
        </w:rPr>
        <w:t>’s bursaries</w:t>
      </w:r>
      <w:r>
        <w:rPr>
          <w:sz w:val="40"/>
        </w:rPr>
        <w:t xml:space="preserve"> to highly talented foreign students </w:t>
      </w:r>
      <w:r w:rsidR="00C06FC3" w:rsidRPr="00B271F0">
        <w:rPr>
          <w:sz w:val="40"/>
        </w:rPr>
        <w:t xml:space="preserve"> </w:t>
      </w:r>
    </w:p>
    <w:p w:rsidR="00F26C35" w:rsidRPr="00B271F0" w:rsidRDefault="00504F0C">
      <w:pPr>
        <w:spacing w:line="20" w:lineRule="exact"/>
        <w:rPr>
          <w:rFonts w:ascii="Times New Roman" w:eastAsia="Times New Roman" w:hAnsi="Times New Roman"/>
          <w:sz w:val="24"/>
        </w:rPr>
      </w:pPr>
      <w:r>
        <w:rPr>
          <w:sz w:val="40"/>
        </w:rPr>
        <w:pict>
          <v:shape id="_x0000_s1030" type="#_x0000_t75" style="position:absolute;margin-left:-1.85pt;margin-top:3.15pt;width:473.3pt;height:.5pt;z-index:-251660288">
            <v:imagedata r:id="rId8" o:title=""/>
          </v:shape>
        </w:pict>
      </w:r>
    </w:p>
    <w:p w:rsidR="00F26C35" w:rsidRPr="00B271F0" w:rsidRDefault="00B271F0" w:rsidP="00023EA4">
      <w:pPr>
        <w:spacing w:before="720" w:line="0" w:lineRule="atLeast"/>
        <w:ind w:right="23"/>
        <w:jc w:val="center"/>
        <w:rPr>
          <w:sz w:val="24"/>
        </w:rPr>
      </w:pPr>
      <w:r>
        <w:rPr>
          <w:sz w:val="24"/>
        </w:rPr>
        <w:t>Clause</w:t>
      </w:r>
      <w:r w:rsidR="00C06FC3" w:rsidRPr="00B271F0">
        <w:rPr>
          <w:sz w:val="24"/>
        </w:rPr>
        <w:t xml:space="preserve"> 1</w:t>
      </w:r>
    </w:p>
    <w:p w:rsidR="00F26C35" w:rsidRPr="00B271F0" w:rsidRDefault="00F26C35">
      <w:pPr>
        <w:spacing w:line="44" w:lineRule="exact"/>
        <w:rPr>
          <w:rFonts w:ascii="Times New Roman" w:eastAsia="Times New Roman" w:hAnsi="Times New Roman"/>
          <w:sz w:val="24"/>
        </w:rPr>
      </w:pPr>
    </w:p>
    <w:p w:rsidR="00F26C35" w:rsidRPr="009A7FA2" w:rsidRDefault="00B271F0" w:rsidP="00023EA4">
      <w:pPr>
        <w:spacing w:after="120" w:line="0" w:lineRule="atLeast"/>
        <w:ind w:right="20"/>
        <w:jc w:val="center"/>
        <w:rPr>
          <w:rFonts w:ascii="Times New Roman" w:eastAsia="Times New Roman" w:hAnsi="Times New Roman"/>
          <w:b/>
          <w:sz w:val="24"/>
        </w:rPr>
      </w:pPr>
      <w:r w:rsidRPr="009A7FA2">
        <w:rPr>
          <w:b/>
          <w:sz w:val="22"/>
        </w:rPr>
        <w:t>Introductory provisions</w:t>
      </w:r>
    </w:p>
    <w:p w:rsidR="00F26C35" w:rsidRPr="00023EA4" w:rsidRDefault="00C06FC3" w:rsidP="008548A6">
      <w:pPr>
        <w:numPr>
          <w:ilvl w:val="0"/>
          <w:numId w:val="1"/>
        </w:numPr>
        <w:tabs>
          <w:tab w:val="left" w:pos="420"/>
        </w:tabs>
        <w:spacing w:after="240"/>
        <w:ind w:left="420" w:hanging="363"/>
        <w:jc w:val="both"/>
        <w:rPr>
          <w:sz w:val="22"/>
        </w:rPr>
      </w:pPr>
      <w:r w:rsidRPr="00023EA4">
        <w:rPr>
          <w:sz w:val="22"/>
        </w:rPr>
        <w:t>T</w:t>
      </w:r>
      <w:r w:rsidR="00B271F0" w:rsidRPr="00023EA4">
        <w:rPr>
          <w:sz w:val="22"/>
        </w:rPr>
        <w:t xml:space="preserve">he present Directive is valid for the </w:t>
      </w:r>
      <w:r w:rsidR="001E445C">
        <w:rPr>
          <w:sz w:val="22"/>
        </w:rPr>
        <w:t>section</w:t>
      </w:r>
      <w:r w:rsidR="00B271F0" w:rsidRPr="00023EA4">
        <w:rPr>
          <w:sz w:val="22"/>
        </w:rPr>
        <w:t xml:space="preserve"> “school” of the Czech University of Life Sciences Prague (hereinafter as the “CULS”) and sets forth the rules for selection and conditions for awarding bursaries </w:t>
      </w:r>
      <w:r w:rsidR="001E445C">
        <w:rPr>
          <w:sz w:val="22"/>
        </w:rPr>
        <w:t>to provide</w:t>
      </w:r>
      <w:r w:rsidR="00B271F0" w:rsidRPr="00023EA4">
        <w:rPr>
          <w:sz w:val="22"/>
        </w:rPr>
        <w:t xml:space="preserve"> support</w:t>
      </w:r>
      <w:r w:rsidR="001E445C">
        <w:rPr>
          <w:sz w:val="22"/>
        </w:rPr>
        <w:t xml:space="preserve"> to </w:t>
      </w:r>
      <w:r w:rsidR="00B271F0" w:rsidRPr="00023EA4">
        <w:rPr>
          <w:sz w:val="22"/>
        </w:rPr>
        <w:t xml:space="preserve">highly talented foreign students (hereinafter as the “Bursary”). </w:t>
      </w:r>
    </w:p>
    <w:p w:rsidR="00F26C35" w:rsidRPr="00023EA4" w:rsidRDefault="00C06FC3" w:rsidP="008548A6">
      <w:pPr>
        <w:numPr>
          <w:ilvl w:val="0"/>
          <w:numId w:val="1"/>
        </w:numPr>
        <w:tabs>
          <w:tab w:val="left" w:pos="420"/>
        </w:tabs>
        <w:spacing w:after="240"/>
        <w:ind w:left="420" w:right="20" w:hanging="363"/>
        <w:jc w:val="both"/>
        <w:rPr>
          <w:sz w:val="22"/>
        </w:rPr>
      </w:pPr>
      <w:r w:rsidRPr="00023EA4">
        <w:rPr>
          <w:sz w:val="22"/>
        </w:rPr>
        <w:t>T</w:t>
      </w:r>
      <w:r w:rsidR="00B271F0" w:rsidRPr="00023EA4">
        <w:rPr>
          <w:sz w:val="22"/>
        </w:rPr>
        <w:t xml:space="preserve">his Directive has been developed in compliance with Act No. </w:t>
      </w:r>
      <w:r w:rsidRPr="00023EA4">
        <w:rPr>
          <w:sz w:val="22"/>
        </w:rPr>
        <w:t xml:space="preserve">111/1998 </w:t>
      </w:r>
      <w:r w:rsidR="00B271F0" w:rsidRPr="00023EA4">
        <w:rPr>
          <w:sz w:val="22"/>
        </w:rPr>
        <w:t>Coll., on Higher Education Institutions and on Amending and Supplementing Other Acts (the Act on Higher Education Institutions), as amended by later regulations.</w:t>
      </w:r>
    </w:p>
    <w:p w:rsidR="00F26C35" w:rsidRPr="00023EA4" w:rsidRDefault="00C06FC3" w:rsidP="008548A6">
      <w:pPr>
        <w:numPr>
          <w:ilvl w:val="0"/>
          <w:numId w:val="1"/>
        </w:numPr>
        <w:tabs>
          <w:tab w:val="left" w:pos="420"/>
        </w:tabs>
        <w:spacing w:after="240"/>
        <w:ind w:left="420" w:hanging="363"/>
        <w:jc w:val="both"/>
        <w:rPr>
          <w:sz w:val="22"/>
        </w:rPr>
      </w:pPr>
      <w:r w:rsidRPr="00023EA4">
        <w:rPr>
          <w:sz w:val="22"/>
        </w:rPr>
        <w:t>T</w:t>
      </w:r>
      <w:r w:rsidR="00B271F0" w:rsidRPr="00023EA4">
        <w:rPr>
          <w:sz w:val="22"/>
        </w:rPr>
        <w:t xml:space="preserve">he purpose of adopting this Directive is to accomplish the Long-term Plan of the CULS, specifically </w:t>
      </w:r>
      <w:r w:rsidR="001E445C">
        <w:rPr>
          <w:sz w:val="22"/>
        </w:rPr>
        <w:t>in the</w:t>
      </w:r>
      <w:r w:rsidR="00B271F0" w:rsidRPr="00023EA4">
        <w:rPr>
          <w:sz w:val="22"/>
        </w:rPr>
        <w:t xml:space="preserve"> develop</w:t>
      </w:r>
      <w:r w:rsidR="001E445C">
        <w:rPr>
          <w:sz w:val="22"/>
        </w:rPr>
        <w:t xml:space="preserve">ment of international relations, while laying </w:t>
      </w:r>
      <w:r w:rsidR="00B271F0" w:rsidRPr="00023EA4">
        <w:rPr>
          <w:sz w:val="22"/>
        </w:rPr>
        <w:t>emphasis on quality of foreign students. Accordingly, a special financial mechanism (t</w:t>
      </w:r>
      <w:r w:rsidR="001E445C">
        <w:rPr>
          <w:sz w:val="22"/>
        </w:rPr>
        <w:t>he Bursary) has been introduced</w:t>
      </w:r>
      <w:r w:rsidR="00B271F0" w:rsidRPr="00023EA4">
        <w:rPr>
          <w:sz w:val="22"/>
        </w:rPr>
        <w:t xml:space="preserve"> to be used by the Rector in order to support highly talented foreign students </w:t>
      </w:r>
      <w:r w:rsidR="001E445C">
        <w:rPr>
          <w:sz w:val="22"/>
        </w:rPr>
        <w:t>during</w:t>
      </w:r>
      <w:r w:rsidR="00B271F0" w:rsidRPr="00023EA4">
        <w:rPr>
          <w:sz w:val="22"/>
        </w:rPr>
        <w:t xml:space="preserve"> their study at the CULS. These students will be selected in cooperation with </w:t>
      </w:r>
      <w:r w:rsidR="00023EA4" w:rsidRPr="00023EA4">
        <w:rPr>
          <w:sz w:val="22"/>
        </w:rPr>
        <w:t xml:space="preserve">the foreign partner universities that concluded a cooperation contract with the CULS (hereinafter as the “Partner University”).  </w:t>
      </w:r>
    </w:p>
    <w:p w:rsidR="00F26C35" w:rsidRPr="00B271F0" w:rsidRDefault="00023EA4" w:rsidP="008548A6">
      <w:pPr>
        <w:numPr>
          <w:ilvl w:val="0"/>
          <w:numId w:val="1"/>
        </w:numPr>
        <w:tabs>
          <w:tab w:val="left" w:pos="420"/>
        </w:tabs>
        <w:spacing w:after="240"/>
        <w:ind w:left="420" w:hanging="363"/>
        <w:jc w:val="both"/>
        <w:rPr>
          <w:sz w:val="22"/>
        </w:rPr>
      </w:pPr>
      <w:r>
        <w:rPr>
          <w:sz w:val="22"/>
        </w:rPr>
        <w:t xml:space="preserve">The Bursary under this Directive may be used for the exclusive purpose of </w:t>
      </w:r>
      <w:r w:rsidR="001E445C">
        <w:rPr>
          <w:sz w:val="22"/>
        </w:rPr>
        <w:t xml:space="preserve">providing </w:t>
      </w:r>
      <w:r>
        <w:rPr>
          <w:sz w:val="22"/>
        </w:rPr>
        <w:t xml:space="preserve">support </w:t>
      </w:r>
      <w:r w:rsidR="001E445C">
        <w:rPr>
          <w:sz w:val="22"/>
        </w:rPr>
        <w:t>to</w:t>
      </w:r>
      <w:r>
        <w:rPr>
          <w:sz w:val="22"/>
        </w:rPr>
        <w:t xml:space="preserve"> highly talented foreign students.</w:t>
      </w:r>
    </w:p>
    <w:p w:rsidR="00F26C35" w:rsidRPr="00B271F0" w:rsidRDefault="00B271F0" w:rsidP="001E445C">
      <w:pPr>
        <w:spacing w:before="240" w:line="0" w:lineRule="atLeast"/>
        <w:ind w:right="23"/>
        <w:jc w:val="center"/>
        <w:rPr>
          <w:sz w:val="22"/>
        </w:rPr>
      </w:pPr>
      <w:r>
        <w:rPr>
          <w:sz w:val="22"/>
        </w:rPr>
        <w:t>Clause</w:t>
      </w:r>
      <w:r w:rsidR="00C06FC3" w:rsidRPr="00B271F0">
        <w:rPr>
          <w:sz w:val="22"/>
        </w:rPr>
        <w:t xml:space="preserve"> 2</w:t>
      </w:r>
    </w:p>
    <w:p w:rsidR="00F26C35" w:rsidRPr="00B271F0" w:rsidRDefault="00F26C35">
      <w:pPr>
        <w:spacing w:line="41" w:lineRule="exact"/>
        <w:rPr>
          <w:rFonts w:ascii="Times New Roman" w:eastAsia="Times New Roman" w:hAnsi="Times New Roman"/>
          <w:sz w:val="24"/>
        </w:rPr>
      </w:pPr>
    </w:p>
    <w:p w:rsidR="00F26C35" w:rsidRPr="009A7FA2" w:rsidRDefault="00BB63BC" w:rsidP="00023EA4">
      <w:pPr>
        <w:spacing w:after="240" w:line="0" w:lineRule="atLeast"/>
        <w:ind w:right="20"/>
        <w:jc w:val="center"/>
        <w:rPr>
          <w:rFonts w:ascii="Times New Roman" w:eastAsia="Times New Roman" w:hAnsi="Times New Roman"/>
          <w:b/>
          <w:sz w:val="24"/>
        </w:rPr>
      </w:pPr>
      <w:r w:rsidRPr="009A7FA2">
        <w:rPr>
          <w:b/>
          <w:sz w:val="22"/>
        </w:rPr>
        <w:t>Conditions for awarding the Bursary</w:t>
      </w:r>
    </w:p>
    <w:p w:rsidR="00F26C35" w:rsidRPr="00023EA4" w:rsidRDefault="00BB63BC" w:rsidP="00023EA4">
      <w:pPr>
        <w:numPr>
          <w:ilvl w:val="0"/>
          <w:numId w:val="2"/>
        </w:numPr>
        <w:tabs>
          <w:tab w:val="left" w:pos="420"/>
        </w:tabs>
        <w:spacing w:after="240" w:line="242" w:lineRule="exact"/>
        <w:ind w:left="420" w:right="20" w:hanging="362"/>
        <w:jc w:val="both"/>
        <w:rPr>
          <w:sz w:val="22"/>
        </w:rPr>
      </w:pPr>
      <w:r>
        <w:rPr>
          <w:sz w:val="22"/>
        </w:rPr>
        <w:t>In the respective academic year, the Rector shall award the Bursary to no more than 12 highly talented foreign students who study at the CULS unless the financial situation of the CULS enables to increase this number of students.</w:t>
      </w:r>
    </w:p>
    <w:p w:rsidR="00F26C35" w:rsidRPr="00023EA4" w:rsidRDefault="00BB63BC" w:rsidP="00023EA4">
      <w:pPr>
        <w:numPr>
          <w:ilvl w:val="0"/>
          <w:numId w:val="2"/>
        </w:numPr>
        <w:tabs>
          <w:tab w:val="left" w:pos="420"/>
        </w:tabs>
        <w:spacing w:after="240" w:line="288" w:lineRule="exact"/>
        <w:ind w:left="420" w:hanging="362"/>
        <w:jc w:val="both"/>
        <w:rPr>
          <w:sz w:val="22"/>
        </w:rPr>
      </w:pPr>
      <w:r>
        <w:rPr>
          <w:sz w:val="22"/>
        </w:rPr>
        <w:t xml:space="preserve">The Bursary shall be awarded at all times for the respective calendar year only. </w:t>
      </w:r>
      <w:r w:rsidR="00C06FC3" w:rsidRPr="00023EA4">
        <w:rPr>
          <w:sz w:val="22"/>
        </w:rPr>
        <w:t xml:space="preserve"> </w:t>
      </w:r>
    </w:p>
    <w:p w:rsidR="00F26C35" w:rsidRPr="00023EA4" w:rsidRDefault="00BB63BC" w:rsidP="00023EA4">
      <w:pPr>
        <w:numPr>
          <w:ilvl w:val="0"/>
          <w:numId w:val="2"/>
        </w:numPr>
        <w:tabs>
          <w:tab w:val="left" w:pos="420"/>
        </w:tabs>
        <w:spacing w:after="240" w:line="290" w:lineRule="exact"/>
        <w:ind w:left="420" w:right="20" w:hanging="362"/>
        <w:jc w:val="both"/>
        <w:rPr>
          <w:sz w:val="22"/>
        </w:rPr>
      </w:pPr>
      <w:r>
        <w:rPr>
          <w:sz w:val="22"/>
        </w:rPr>
        <w:t xml:space="preserve">In the first academic year </w:t>
      </w:r>
      <w:r w:rsidR="001E445C">
        <w:rPr>
          <w:sz w:val="22"/>
        </w:rPr>
        <w:t>after this Directive becomes effective</w:t>
      </w:r>
      <w:r>
        <w:rPr>
          <w:sz w:val="22"/>
        </w:rPr>
        <w:t xml:space="preserve">, the Rector shall award the Bursary </w:t>
      </w:r>
      <w:r w:rsidR="001E445C">
        <w:rPr>
          <w:sz w:val="22"/>
        </w:rPr>
        <w:t>to</w:t>
      </w:r>
      <w:r>
        <w:rPr>
          <w:sz w:val="22"/>
        </w:rPr>
        <w:t xml:space="preserve"> </w:t>
      </w:r>
      <w:r w:rsidR="001E445C">
        <w:rPr>
          <w:sz w:val="22"/>
        </w:rPr>
        <w:t xml:space="preserve">6 </w:t>
      </w:r>
      <w:r>
        <w:rPr>
          <w:sz w:val="22"/>
        </w:rPr>
        <w:t>highly talented foreign students studying at the CULS</w:t>
      </w:r>
      <w:r w:rsidR="001E445C">
        <w:rPr>
          <w:sz w:val="22"/>
        </w:rPr>
        <w:t xml:space="preserve"> as a maximum</w:t>
      </w:r>
      <w:r w:rsidR="00C06FC3" w:rsidRPr="00023EA4">
        <w:rPr>
          <w:sz w:val="22"/>
        </w:rPr>
        <w:t>.</w:t>
      </w:r>
    </w:p>
    <w:p w:rsidR="00F26C35" w:rsidRPr="00B271F0" w:rsidRDefault="00BB63BC" w:rsidP="00023EA4">
      <w:pPr>
        <w:numPr>
          <w:ilvl w:val="0"/>
          <w:numId w:val="2"/>
        </w:numPr>
        <w:tabs>
          <w:tab w:val="left" w:pos="420"/>
        </w:tabs>
        <w:spacing w:after="240" w:line="265" w:lineRule="auto"/>
        <w:ind w:left="420" w:right="20" w:hanging="362"/>
        <w:jc w:val="both"/>
        <w:rPr>
          <w:sz w:val="22"/>
        </w:rPr>
      </w:pPr>
      <w:r>
        <w:rPr>
          <w:sz w:val="22"/>
        </w:rPr>
        <w:t xml:space="preserve">The Bursary shall be awarded to students (applicants) who meet the conditions for awarding the Bursary, in an equal measure </w:t>
      </w:r>
      <w:r w:rsidR="001E445C">
        <w:rPr>
          <w:sz w:val="22"/>
        </w:rPr>
        <w:t>by</w:t>
      </w:r>
      <w:r>
        <w:rPr>
          <w:sz w:val="22"/>
        </w:rPr>
        <w:t xml:space="preserve"> the individual Faculties and the Faculty of Tropical </w:t>
      </w:r>
      <w:proofErr w:type="spellStart"/>
      <w:r>
        <w:rPr>
          <w:sz w:val="22"/>
        </w:rPr>
        <w:t>AgriSciences</w:t>
      </w:r>
      <w:proofErr w:type="spellEnd"/>
      <w:r>
        <w:rPr>
          <w:sz w:val="22"/>
        </w:rPr>
        <w:t xml:space="preserve"> (the former </w:t>
      </w:r>
      <w:r w:rsidRPr="00BB63BC">
        <w:rPr>
          <w:sz w:val="22"/>
        </w:rPr>
        <w:t xml:space="preserve">Institute of </w:t>
      </w:r>
      <w:r>
        <w:rPr>
          <w:sz w:val="22"/>
        </w:rPr>
        <w:t>T</w:t>
      </w:r>
      <w:r w:rsidRPr="00BB63BC">
        <w:rPr>
          <w:sz w:val="22"/>
        </w:rPr>
        <w:t xml:space="preserve">ropics and </w:t>
      </w:r>
      <w:r>
        <w:rPr>
          <w:sz w:val="22"/>
        </w:rPr>
        <w:t>S</w:t>
      </w:r>
      <w:r w:rsidRPr="00BB63BC">
        <w:rPr>
          <w:sz w:val="22"/>
        </w:rPr>
        <w:t>ubtropics (ITS</w:t>
      </w:r>
      <w:r>
        <w:rPr>
          <w:sz w:val="22"/>
        </w:rPr>
        <w:t xml:space="preserve">), hereinafter as the “FTA”). In case no student (applicant) is enrolled for study at a certain Faculty or the FTA who meets the conditions for awarding the Bursary, the Bursary shall be </w:t>
      </w:r>
      <w:r w:rsidR="001E445C">
        <w:rPr>
          <w:sz w:val="22"/>
        </w:rPr>
        <w:t>forwarded</w:t>
      </w:r>
      <w:r>
        <w:rPr>
          <w:sz w:val="22"/>
        </w:rPr>
        <w:t xml:space="preserve"> to the Faculty or the FTA with the highest number of students (applicants) satisfying the conditions for awarding the Bursary. </w:t>
      </w:r>
      <w:r w:rsidRPr="00BB63BC">
        <w:rPr>
          <w:sz w:val="22"/>
        </w:rPr>
        <w:t xml:space="preserve"> </w:t>
      </w:r>
    </w:p>
    <w:p w:rsidR="00F26C35" w:rsidRPr="00B271F0" w:rsidRDefault="00F26C35" w:rsidP="00023EA4">
      <w:pPr>
        <w:tabs>
          <w:tab w:val="left" w:pos="420"/>
        </w:tabs>
        <w:spacing w:after="240" w:line="265" w:lineRule="auto"/>
        <w:ind w:left="420" w:right="20" w:hanging="362"/>
        <w:jc w:val="both"/>
        <w:rPr>
          <w:sz w:val="22"/>
        </w:rPr>
        <w:sectPr w:rsidR="00F26C35" w:rsidRPr="00B271F0">
          <w:footerReference w:type="default" r:id="rId9"/>
          <w:pgSz w:w="11900" w:h="16840"/>
          <w:pgMar w:top="1394" w:right="1400" w:bottom="1440" w:left="1200" w:header="0" w:footer="0" w:gutter="0"/>
          <w:cols w:space="0" w:equalWidth="0">
            <w:col w:w="9300"/>
          </w:cols>
          <w:docGrid w:linePitch="360"/>
        </w:sectPr>
      </w:pPr>
    </w:p>
    <w:p w:rsidR="00F26C35" w:rsidRPr="00B271F0" w:rsidRDefault="00F26C35" w:rsidP="00023EA4">
      <w:pPr>
        <w:spacing w:line="4" w:lineRule="exact"/>
        <w:jc w:val="both"/>
        <w:rPr>
          <w:rFonts w:ascii="Times New Roman" w:eastAsia="Times New Roman" w:hAnsi="Times New Roman"/>
        </w:rPr>
      </w:pPr>
      <w:bookmarkStart w:id="0" w:name="page2"/>
      <w:bookmarkEnd w:id="0"/>
    </w:p>
    <w:p w:rsidR="00F26C35" w:rsidRPr="00023EA4" w:rsidRDefault="00F85D66" w:rsidP="00023EA4">
      <w:pPr>
        <w:numPr>
          <w:ilvl w:val="0"/>
          <w:numId w:val="3"/>
        </w:numPr>
        <w:tabs>
          <w:tab w:val="left" w:pos="362"/>
        </w:tabs>
        <w:spacing w:after="240" w:line="290" w:lineRule="exact"/>
        <w:ind w:left="363" w:hanging="363"/>
        <w:jc w:val="both"/>
        <w:rPr>
          <w:sz w:val="22"/>
        </w:rPr>
      </w:pPr>
      <w:r>
        <w:rPr>
          <w:sz w:val="22"/>
        </w:rPr>
        <w:t>The total amount of the Bursary per student is CZK 120,000.00 per year and shall be paid to the student</w:t>
      </w:r>
      <w:r w:rsidR="001E445C">
        <w:rPr>
          <w:sz w:val="22"/>
        </w:rPr>
        <w:t>s</w:t>
      </w:r>
      <w:r>
        <w:rPr>
          <w:sz w:val="22"/>
        </w:rPr>
        <w:t xml:space="preserve"> in monthly arrears.</w:t>
      </w:r>
    </w:p>
    <w:p w:rsidR="00F26C35" w:rsidRPr="00023EA4" w:rsidRDefault="00F85D66" w:rsidP="00F85D66">
      <w:pPr>
        <w:numPr>
          <w:ilvl w:val="0"/>
          <w:numId w:val="3"/>
        </w:numPr>
        <w:tabs>
          <w:tab w:val="left" w:pos="362"/>
        </w:tabs>
        <w:spacing w:after="240" w:line="272" w:lineRule="exact"/>
        <w:ind w:left="363" w:right="23" w:hanging="363"/>
        <w:jc w:val="both"/>
        <w:rPr>
          <w:sz w:val="22"/>
        </w:rPr>
      </w:pPr>
      <w:r>
        <w:rPr>
          <w:sz w:val="22"/>
        </w:rPr>
        <w:t xml:space="preserve">The Bursary is intended for students with a completed Bachelor’s degree. The Bursary may be awarded only to those students who are enrolled for study at the CULS as regular students of </w:t>
      </w:r>
      <w:r w:rsidRPr="00023EA4">
        <w:rPr>
          <w:sz w:val="22"/>
        </w:rPr>
        <w:t>post</w:t>
      </w:r>
      <w:r w:rsidRPr="00F85D66">
        <w:rPr>
          <w:sz w:val="22"/>
        </w:rPr>
        <w:t>-Bachelor</w:t>
      </w:r>
      <w:r w:rsidR="001E445C">
        <w:rPr>
          <w:sz w:val="22"/>
        </w:rPr>
        <w:t>’s</w:t>
      </w:r>
      <w:r w:rsidRPr="00F85D66">
        <w:rPr>
          <w:sz w:val="22"/>
        </w:rPr>
        <w:t xml:space="preserve"> study programme (i.e. Master's programme)</w:t>
      </w:r>
      <w:r>
        <w:rPr>
          <w:sz w:val="22"/>
        </w:rPr>
        <w:t xml:space="preserve"> at the CULS</w:t>
      </w:r>
      <w:r w:rsidR="00C06FC3" w:rsidRPr="00023EA4">
        <w:rPr>
          <w:sz w:val="22"/>
        </w:rPr>
        <w:t>.</w:t>
      </w:r>
    </w:p>
    <w:p w:rsidR="00F26C35" w:rsidRPr="00B271F0" w:rsidRDefault="00C06FC3" w:rsidP="00023EA4">
      <w:pPr>
        <w:numPr>
          <w:ilvl w:val="0"/>
          <w:numId w:val="3"/>
        </w:numPr>
        <w:tabs>
          <w:tab w:val="left" w:pos="362"/>
        </w:tabs>
        <w:spacing w:after="240" w:line="265" w:lineRule="auto"/>
        <w:ind w:left="363" w:hanging="363"/>
        <w:jc w:val="both"/>
        <w:rPr>
          <w:sz w:val="22"/>
        </w:rPr>
      </w:pPr>
      <w:r w:rsidRPr="00B271F0">
        <w:rPr>
          <w:sz w:val="22"/>
        </w:rPr>
        <w:t>Student</w:t>
      </w:r>
      <w:r w:rsidR="001A0D20">
        <w:rPr>
          <w:sz w:val="22"/>
        </w:rPr>
        <w:t xml:space="preserve">s who wish to be awarded the Bursary (hereinafter as the “Applicants”) must contact the International Relations Office of the CULS or that of the Partner University. In their applications, the Applicants should indicate the accurate name of the programme and field of study they intend to </w:t>
      </w:r>
      <w:r w:rsidR="009D3AD3">
        <w:rPr>
          <w:sz w:val="22"/>
        </w:rPr>
        <w:t>pursue</w:t>
      </w:r>
      <w:r w:rsidR="001A0D20">
        <w:rPr>
          <w:sz w:val="22"/>
        </w:rPr>
        <w:t xml:space="preserve"> in the Master’s programme at the CULS (the Bursary </w:t>
      </w:r>
      <w:r w:rsidR="001E445C">
        <w:rPr>
          <w:sz w:val="22"/>
        </w:rPr>
        <w:t xml:space="preserve">is preferentially awarded to support studies in </w:t>
      </w:r>
      <w:r w:rsidR="001A0D20">
        <w:rPr>
          <w:sz w:val="22"/>
        </w:rPr>
        <w:t xml:space="preserve">English fields of study) </w:t>
      </w:r>
      <w:r w:rsidR="009D3AD3">
        <w:rPr>
          <w:sz w:val="22"/>
        </w:rPr>
        <w:t xml:space="preserve">and the Partner University </w:t>
      </w:r>
      <w:r w:rsidR="001E445C">
        <w:rPr>
          <w:sz w:val="22"/>
        </w:rPr>
        <w:t>issuing the</w:t>
      </w:r>
      <w:r w:rsidR="009D3AD3">
        <w:rPr>
          <w:sz w:val="22"/>
        </w:rPr>
        <w:t xml:space="preserve"> Bachelor Diploma. </w:t>
      </w:r>
      <w:r w:rsidR="001A0D20">
        <w:rPr>
          <w:sz w:val="22"/>
        </w:rPr>
        <w:t xml:space="preserve"> </w:t>
      </w:r>
      <w:r w:rsidRPr="00B271F0">
        <w:rPr>
          <w:sz w:val="22"/>
        </w:rPr>
        <w:t xml:space="preserve"> </w:t>
      </w:r>
    </w:p>
    <w:p w:rsidR="00F26C35" w:rsidRPr="00023EA4" w:rsidRDefault="00846584" w:rsidP="00023EA4">
      <w:pPr>
        <w:numPr>
          <w:ilvl w:val="0"/>
          <w:numId w:val="3"/>
        </w:numPr>
        <w:tabs>
          <w:tab w:val="left" w:pos="362"/>
        </w:tabs>
        <w:spacing w:after="240" w:line="266" w:lineRule="exact"/>
        <w:ind w:left="363" w:hanging="363"/>
        <w:jc w:val="both"/>
        <w:rPr>
          <w:sz w:val="22"/>
        </w:rPr>
      </w:pPr>
      <w:r>
        <w:rPr>
          <w:sz w:val="22"/>
        </w:rPr>
        <w:t>A</w:t>
      </w:r>
      <w:r w:rsidR="008A643C">
        <w:rPr>
          <w:sz w:val="22"/>
        </w:rPr>
        <w:t xml:space="preserve">s of </w:t>
      </w:r>
      <w:r>
        <w:rPr>
          <w:sz w:val="22"/>
        </w:rPr>
        <w:t>01 March of the respec</w:t>
      </w:r>
      <w:r w:rsidR="008A643C">
        <w:rPr>
          <w:sz w:val="22"/>
        </w:rPr>
        <w:t>tive calendar year</w:t>
      </w:r>
      <w:r>
        <w:rPr>
          <w:sz w:val="22"/>
        </w:rPr>
        <w:t xml:space="preserve"> (or later when duly justified), a list will be prepared as to those students who </w:t>
      </w:r>
      <w:r w:rsidR="00E8651D">
        <w:rPr>
          <w:sz w:val="22"/>
        </w:rPr>
        <w:t>apply for</w:t>
      </w:r>
      <w:r>
        <w:rPr>
          <w:sz w:val="22"/>
        </w:rPr>
        <w:t xml:space="preserve"> the Bursary, noting the given student’s name, name of the Partner University where the given student was conferred the Bachelor</w:t>
      </w:r>
      <w:r w:rsidR="008A643C">
        <w:rPr>
          <w:sz w:val="22"/>
        </w:rPr>
        <w:t>´s</w:t>
      </w:r>
      <w:r>
        <w:rPr>
          <w:sz w:val="22"/>
        </w:rPr>
        <w:t xml:space="preserve"> degree, programme/field of study that the student intends to study at the CULS and contact data.</w:t>
      </w:r>
    </w:p>
    <w:p w:rsidR="00F26C35" w:rsidRPr="00B271F0" w:rsidRDefault="00846584" w:rsidP="009D3AD3">
      <w:pPr>
        <w:numPr>
          <w:ilvl w:val="0"/>
          <w:numId w:val="3"/>
        </w:numPr>
        <w:tabs>
          <w:tab w:val="left" w:pos="362"/>
        </w:tabs>
        <w:spacing w:line="235" w:lineRule="auto"/>
        <w:ind w:left="363" w:right="23" w:hanging="363"/>
        <w:jc w:val="both"/>
        <w:rPr>
          <w:sz w:val="22"/>
        </w:rPr>
      </w:pPr>
      <w:r>
        <w:rPr>
          <w:sz w:val="22"/>
        </w:rPr>
        <w:t xml:space="preserve">As the next step, the International Relations Office of the CULS shall contact the foreign Partner Universities and Applicants with a request </w:t>
      </w:r>
      <w:r w:rsidR="00E8651D">
        <w:rPr>
          <w:sz w:val="22"/>
        </w:rPr>
        <w:t>for</w:t>
      </w:r>
      <w:r>
        <w:rPr>
          <w:sz w:val="22"/>
        </w:rPr>
        <w:t xml:space="preserve"> </w:t>
      </w:r>
      <w:r w:rsidR="00E8651D">
        <w:rPr>
          <w:sz w:val="22"/>
        </w:rPr>
        <w:t xml:space="preserve">submission of </w:t>
      </w:r>
      <w:r>
        <w:rPr>
          <w:sz w:val="22"/>
        </w:rPr>
        <w:t xml:space="preserve">documents </w:t>
      </w:r>
      <w:r w:rsidR="00E8651D">
        <w:rPr>
          <w:sz w:val="22"/>
        </w:rPr>
        <w:t>necessary for the Bursary to be awarded, the following</w:t>
      </w:r>
      <w:r w:rsidR="00E8651D" w:rsidRPr="00E8651D">
        <w:rPr>
          <w:sz w:val="22"/>
        </w:rPr>
        <w:t xml:space="preserve"> </w:t>
      </w:r>
      <w:r w:rsidR="00E8651D">
        <w:rPr>
          <w:sz w:val="22"/>
        </w:rPr>
        <w:t>in particular</w:t>
      </w:r>
      <w:r w:rsidR="00C06FC3" w:rsidRPr="00B271F0">
        <w:rPr>
          <w:sz w:val="22"/>
        </w:rPr>
        <w:t>:</w:t>
      </w:r>
    </w:p>
    <w:p w:rsidR="00F26C35" w:rsidRPr="00B271F0" w:rsidRDefault="00F26C35" w:rsidP="00023EA4">
      <w:pPr>
        <w:spacing w:after="240" w:line="43" w:lineRule="exact"/>
        <w:jc w:val="both"/>
        <w:rPr>
          <w:sz w:val="22"/>
        </w:rPr>
      </w:pPr>
    </w:p>
    <w:p w:rsidR="00846584" w:rsidRPr="00846584" w:rsidRDefault="00846584" w:rsidP="00846584">
      <w:pPr>
        <w:numPr>
          <w:ilvl w:val="1"/>
          <w:numId w:val="3"/>
        </w:numPr>
        <w:tabs>
          <w:tab w:val="left" w:pos="642"/>
        </w:tabs>
        <w:ind w:left="640" w:hanging="215"/>
        <w:jc w:val="both"/>
        <w:rPr>
          <w:rFonts w:ascii="Symbol" w:eastAsia="Symbol" w:hAnsi="Symbol"/>
          <w:sz w:val="22"/>
        </w:rPr>
      </w:pPr>
      <w:r>
        <w:rPr>
          <w:sz w:val="22"/>
        </w:rPr>
        <w:t xml:space="preserve">documents attesting to study results (e.g. in the form of a “Transcript of Records”, or Diploma Supplement), </w:t>
      </w:r>
    </w:p>
    <w:p w:rsidR="00846584" w:rsidRPr="00846584" w:rsidRDefault="00846584" w:rsidP="00846584">
      <w:pPr>
        <w:numPr>
          <w:ilvl w:val="1"/>
          <w:numId w:val="3"/>
        </w:numPr>
        <w:tabs>
          <w:tab w:val="left" w:pos="642"/>
        </w:tabs>
        <w:ind w:left="640" w:hanging="215"/>
        <w:jc w:val="both"/>
        <w:rPr>
          <w:rFonts w:ascii="Symbol" w:eastAsia="Symbol" w:hAnsi="Symbol"/>
          <w:sz w:val="22"/>
        </w:rPr>
      </w:pPr>
      <w:r>
        <w:rPr>
          <w:sz w:val="22"/>
        </w:rPr>
        <w:t xml:space="preserve">completed level of education in the form of a notarized copy of the Bachelor Diploma, </w:t>
      </w:r>
    </w:p>
    <w:p w:rsidR="00846584" w:rsidRPr="00846584" w:rsidRDefault="00846584" w:rsidP="00846584">
      <w:pPr>
        <w:numPr>
          <w:ilvl w:val="1"/>
          <w:numId w:val="3"/>
        </w:numPr>
        <w:tabs>
          <w:tab w:val="left" w:pos="642"/>
        </w:tabs>
        <w:ind w:left="640" w:hanging="215"/>
        <w:jc w:val="both"/>
        <w:rPr>
          <w:rFonts w:ascii="Symbol" w:eastAsia="Symbol" w:hAnsi="Symbol"/>
          <w:sz w:val="22"/>
        </w:rPr>
      </w:pPr>
      <w:r>
        <w:rPr>
          <w:sz w:val="22"/>
        </w:rPr>
        <w:t xml:space="preserve">the Applicant’s motivation letter, </w:t>
      </w:r>
    </w:p>
    <w:p w:rsidR="00846584" w:rsidRPr="00846584" w:rsidRDefault="00846584" w:rsidP="00846584">
      <w:pPr>
        <w:numPr>
          <w:ilvl w:val="1"/>
          <w:numId w:val="3"/>
        </w:numPr>
        <w:tabs>
          <w:tab w:val="left" w:pos="642"/>
        </w:tabs>
        <w:ind w:left="640" w:hanging="215"/>
        <w:jc w:val="both"/>
        <w:rPr>
          <w:rFonts w:ascii="Symbol" w:eastAsia="Symbol" w:hAnsi="Symbol"/>
          <w:sz w:val="22"/>
        </w:rPr>
      </w:pPr>
      <w:r>
        <w:rPr>
          <w:sz w:val="22"/>
        </w:rPr>
        <w:t>letter of recommendation by the Partner University, in which letter the Partner University shall guarantee the Applicant’s quality and provide a more detailed characterization of the Applicant,</w:t>
      </w:r>
    </w:p>
    <w:p w:rsidR="00F26C35" w:rsidRPr="00B271F0" w:rsidRDefault="00846584" w:rsidP="00846584">
      <w:pPr>
        <w:numPr>
          <w:ilvl w:val="1"/>
          <w:numId w:val="3"/>
        </w:numPr>
        <w:tabs>
          <w:tab w:val="left" w:pos="642"/>
        </w:tabs>
        <w:ind w:left="640" w:hanging="215"/>
        <w:jc w:val="both"/>
        <w:rPr>
          <w:rFonts w:ascii="Symbol" w:eastAsia="Symbol" w:hAnsi="Symbol"/>
          <w:sz w:val="22"/>
        </w:rPr>
      </w:pPr>
      <w:r>
        <w:rPr>
          <w:sz w:val="22"/>
        </w:rPr>
        <w:t>a completed ap</w:t>
      </w:r>
      <w:r w:rsidR="008A643C">
        <w:rPr>
          <w:sz w:val="22"/>
        </w:rPr>
        <w:t xml:space="preserve">plication for study at the </w:t>
      </w:r>
      <w:proofErr w:type="spellStart"/>
      <w:r w:rsidR="008A643C">
        <w:rPr>
          <w:sz w:val="22"/>
        </w:rPr>
        <w:t>CULS</w:t>
      </w:r>
      <w:proofErr w:type="spellEnd"/>
      <w:r w:rsidR="00C06FC3" w:rsidRPr="00B271F0">
        <w:rPr>
          <w:sz w:val="22"/>
        </w:rPr>
        <w:t>,</w:t>
      </w:r>
    </w:p>
    <w:p w:rsidR="00F26C35" w:rsidRPr="00B271F0" w:rsidRDefault="00F26C35" w:rsidP="00023EA4">
      <w:pPr>
        <w:spacing w:line="38" w:lineRule="exact"/>
        <w:jc w:val="both"/>
        <w:rPr>
          <w:rFonts w:ascii="Symbol" w:eastAsia="Symbol" w:hAnsi="Symbol"/>
          <w:sz w:val="22"/>
        </w:rPr>
      </w:pPr>
    </w:p>
    <w:p w:rsidR="00F26C35" w:rsidRPr="00B271F0" w:rsidRDefault="00BA684D" w:rsidP="00846584">
      <w:pPr>
        <w:spacing w:before="240" w:after="240" w:line="254" w:lineRule="auto"/>
        <w:ind w:left="363" w:right="20"/>
        <w:jc w:val="both"/>
        <w:rPr>
          <w:rFonts w:ascii="Times New Roman" w:eastAsia="Times New Roman" w:hAnsi="Times New Roman"/>
        </w:rPr>
      </w:pPr>
      <w:r>
        <w:rPr>
          <w:sz w:val="22"/>
        </w:rPr>
        <w:t xml:space="preserve">(hereinafter as the “Documents for Award of the Bursary”). These Documents for Award of the Bursary </w:t>
      </w:r>
      <w:r w:rsidR="00E8651D">
        <w:rPr>
          <w:sz w:val="22"/>
        </w:rPr>
        <w:t>will</w:t>
      </w:r>
      <w:r>
        <w:rPr>
          <w:sz w:val="22"/>
        </w:rPr>
        <w:t xml:space="preserve"> be used to initiate the admission procedure for the given applicant’s study at the CULS, in conjunction with awarding the relevant Bursary. </w:t>
      </w:r>
      <w:r w:rsidR="00C06FC3" w:rsidRPr="00B271F0">
        <w:rPr>
          <w:sz w:val="22"/>
        </w:rPr>
        <w:t xml:space="preserve"> </w:t>
      </w:r>
    </w:p>
    <w:p w:rsidR="00F26C35" w:rsidRPr="00B271F0" w:rsidRDefault="00BA684D" w:rsidP="00023EA4">
      <w:pPr>
        <w:numPr>
          <w:ilvl w:val="0"/>
          <w:numId w:val="4"/>
        </w:numPr>
        <w:tabs>
          <w:tab w:val="left" w:pos="413"/>
        </w:tabs>
        <w:spacing w:after="240" w:line="261" w:lineRule="auto"/>
        <w:ind w:left="363" w:hanging="362"/>
        <w:jc w:val="both"/>
        <w:rPr>
          <w:sz w:val="22"/>
        </w:rPr>
      </w:pPr>
      <w:r>
        <w:rPr>
          <w:sz w:val="22"/>
        </w:rPr>
        <w:t>On the basis of the received Documents for Award of the Bursary and the assessment of the same at the CULS or the individual faculties or the FTA, the Partner Universities shall be required to carry out entrance examination</w:t>
      </w:r>
      <w:r w:rsidR="00E8651D">
        <w:rPr>
          <w:sz w:val="22"/>
        </w:rPr>
        <w:t>s</w:t>
      </w:r>
      <w:r>
        <w:rPr>
          <w:sz w:val="22"/>
        </w:rPr>
        <w:t xml:space="preserve"> with the Applicants, </w:t>
      </w:r>
      <w:r w:rsidR="00E8651D">
        <w:rPr>
          <w:sz w:val="22"/>
        </w:rPr>
        <w:t xml:space="preserve">while </w:t>
      </w:r>
      <w:r>
        <w:rPr>
          <w:sz w:val="22"/>
        </w:rPr>
        <w:t xml:space="preserve">observing the instructions and requirements of the CULS, its Faculties or the FTA for the given field of study </w:t>
      </w:r>
      <w:r w:rsidR="00E8651D">
        <w:rPr>
          <w:sz w:val="22"/>
        </w:rPr>
        <w:t>pursued</w:t>
      </w:r>
      <w:r>
        <w:rPr>
          <w:sz w:val="22"/>
        </w:rPr>
        <w:t xml:space="preserve"> by the given Applicant</w:t>
      </w:r>
      <w:r w:rsidR="00C06FC3" w:rsidRPr="00B271F0">
        <w:rPr>
          <w:sz w:val="22"/>
        </w:rPr>
        <w:t>.</w:t>
      </w:r>
    </w:p>
    <w:p w:rsidR="00F26C35" w:rsidRPr="00B271F0" w:rsidRDefault="00C06FC3" w:rsidP="00023EA4">
      <w:pPr>
        <w:spacing w:after="240" w:line="255" w:lineRule="auto"/>
        <w:ind w:left="363" w:right="20" w:hanging="359"/>
        <w:jc w:val="both"/>
        <w:rPr>
          <w:rFonts w:ascii="Times New Roman" w:eastAsia="Times New Roman" w:hAnsi="Times New Roman"/>
        </w:rPr>
      </w:pPr>
      <w:r w:rsidRPr="00B271F0">
        <w:rPr>
          <w:sz w:val="22"/>
        </w:rPr>
        <w:t xml:space="preserve">(11) </w:t>
      </w:r>
      <w:r w:rsidR="00BA684D">
        <w:rPr>
          <w:sz w:val="22"/>
        </w:rPr>
        <w:t>Based on the assessment of the received Documents for Award of the Bursary and results of entrance examinations, a list of students (</w:t>
      </w:r>
      <w:r w:rsidR="00E8651D">
        <w:rPr>
          <w:sz w:val="22"/>
        </w:rPr>
        <w:t>A</w:t>
      </w:r>
      <w:r w:rsidR="00BA684D">
        <w:rPr>
          <w:sz w:val="22"/>
        </w:rPr>
        <w:t xml:space="preserve">pplicants) shall be prepared (by individual fields of study). The Rector </w:t>
      </w:r>
      <w:r w:rsidR="00E8651D">
        <w:rPr>
          <w:sz w:val="22"/>
        </w:rPr>
        <w:t>will rely</w:t>
      </w:r>
      <w:r w:rsidR="00BA684D">
        <w:rPr>
          <w:sz w:val="22"/>
        </w:rPr>
        <w:t xml:space="preserve"> on this list to award the Bursaries.</w:t>
      </w:r>
    </w:p>
    <w:p w:rsidR="00F26C35" w:rsidRPr="00B271F0" w:rsidRDefault="00C06FC3" w:rsidP="00023EA4">
      <w:pPr>
        <w:spacing w:after="240" w:line="261" w:lineRule="auto"/>
        <w:ind w:left="363" w:right="20" w:hanging="359"/>
        <w:jc w:val="both"/>
        <w:rPr>
          <w:sz w:val="22"/>
        </w:rPr>
      </w:pPr>
      <w:r w:rsidRPr="00B271F0">
        <w:rPr>
          <w:sz w:val="22"/>
        </w:rPr>
        <w:t xml:space="preserve">(12) </w:t>
      </w:r>
      <w:r w:rsidR="009D3AD3">
        <w:rPr>
          <w:sz w:val="22"/>
        </w:rPr>
        <w:t xml:space="preserve">If an Applicant is awarded the Bursary, this Student’s study results will be monitored through the IS </w:t>
      </w:r>
      <w:r w:rsidR="00846584">
        <w:rPr>
          <w:sz w:val="22"/>
        </w:rPr>
        <w:t>S</w:t>
      </w:r>
      <w:r w:rsidR="009D3AD3">
        <w:rPr>
          <w:sz w:val="22"/>
        </w:rPr>
        <w:t xml:space="preserve">tudy </w:t>
      </w:r>
      <w:r w:rsidR="00846584">
        <w:rPr>
          <w:sz w:val="22"/>
        </w:rPr>
        <w:t xml:space="preserve">application </w:t>
      </w:r>
      <w:r w:rsidR="009D3AD3">
        <w:rPr>
          <w:sz w:val="22"/>
        </w:rPr>
        <w:t xml:space="preserve">and teachers as guarantors of the respective fields of study. </w:t>
      </w:r>
      <w:r w:rsidR="00E8651D">
        <w:rPr>
          <w:sz w:val="22"/>
        </w:rPr>
        <w:t>The Bursary will not be renewed in case of students with poor study results.</w:t>
      </w:r>
    </w:p>
    <w:p w:rsidR="00F26C35" w:rsidRPr="00B271F0" w:rsidRDefault="00504F0C" w:rsidP="00023EA4">
      <w:pPr>
        <w:spacing w:line="20" w:lineRule="exact"/>
        <w:jc w:val="both"/>
        <w:rPr>
          <w:rFonts w:ascii="Times New Roman" w:eastAsia="Times New Roman" w:hAnsi="Times New Roman"/>
        </w:rPr>
      </w:pPr>
      <w:r>
        <w:rPr>
          <w:sz w:val="22"/>
        </w:rPr>
        <w:pict>
          <v:line id="_x0000_s1031" style="position:absolute;left:0;text-align:left;z-index:-251659264" from="-8.75pt,1in" to="466.9pt,1in" o:userdrawn="t" strokecolor="#999" strokeweight=".16931mm"/>
        </w:pict>
      </w:r>
    </w:p>
    <w:p w:rsidR="00F26C35" w:rsidRPr="00B271F0" w:rsidRDefault="00F26C35" w:rsidP="00023EA4">
      <w:pPr>
        <w:spacing w:line="200" w:lineRule="exact"/>
        <w:jc w:val="both"/>
        <w:rPr>
          <w:rFonts w:ascii="Times New Roman" w:eastAsia="Times New Roman" w:hAnsi="Times New Roman"/>
        </w:rPr>
      </w:pPr>
    </w:p>
    <w:p w:rsidR="00F26C35" w:rsidRPr="00B271F0" w:rsidRDefault="00F26C35">
      <w:pPr>
        <w:spacing w:line="200" w:lineRule="exact"/>
        <w:rPr>
          <w:rFonts w:ascii="Times New Roman" w:eastAsia="Times New Roman" w:hAnsi="Times New Roman"/>
        </w:rPr>
      </w:pPr>
    </w:p>
    <w:p w:rsidR="00F26C35" w:rsidRPr="00B271F0" w:rsidRDefault="00F26C35">
      <w:pPr>
        <w:spacing w:line="200" w:lineRule="exact"/>
        <w:rPr>
          <w:rFonts w:ascii="Times New Roman" w:eastAsia="Times New Roman" w:hAnsi="Times New Roman"/>
        </w:rPr>
      </w:pPr>
    </w:p>
    <w:p w:rsidR="00F26C35" w:rsidRPr="00B271F0" w:rsidRDefault="00F26C35">
      <w:pPr>
        <w:spacing w:line="200" w:lineRule="exact"/>
        <w:rPr>
          <w:rFonts w:ascii="Times New Roman" w:eastAsia="Times New Roman" w:hAnsi="Times New Roman"/>
        </w:rPr>
      </w:pPr>
    </w:p>
    <w:p w:rsidR="00F26C35" w:rsidRPr="00B271F0" w:rsidRDefault="00F26C35">
      <w:pPr>
        <w:spacing w:line="200" w:lineRule="exact"/>
        <w:rPr>
          <w:rFonts w:ascii="Times New Roman" w:eastAsia="Times New Roman" w:hAnsi="Times New Roman"/>
        </w:rPr>
      </w:pPr>
    </w:p>
    <w:p w:rsidR="00F26C35" w:rsidRPr="00B271F0" w:rsidRDefault="00F26C35">
      <w:pPr>
        <w:spacing w:line="200" w:lineRule="exact"/>
        <w:rPr>
          <w:rFonts w:ascii="Times New Roman" w:eastAsia="Times New Roman" w:hAnsi="Times New Roman"/>
        </w:rPr>
      </w:pPr>
    </w:p>
    <w:p w:rsidR="00F26C35" w:rsidRPr="00B271F0" w:rsidRDefault="00F26C35">
      <w:pPr>
        <w:spacing w:line="286" w:lineRule="exact"/>
        <w:rPr>
          <w:rFonts w:ascii="Times New Roman" w:eastAsia="Times New Roman" w:hAnsi="Times New Roman"/>
        </w:rPr>
      </w:pPr>
    </w:p>
    <w:tbl>
      <w:tblPr>
        <w:tblW w:w="0" w:type="auto"/>
        <w:tblInd w:w="4002" w:type="dxa"/>
        <w:tblLayout w:type="fixed"/>
        <w:tblCellMar>
          <w:left w:w="0" w:type="dxa"/>
          <w:right w:w="0" w:type="dxa"/>
        </w:tblCellMar>
        <w:tblLook w:val="0000" w:firstRow="0" w:lastRow="0" w:firstColumn="0" w:lastColumn="0" w:noHBand="0" w:noVBand="0"/>
      </w:tblPr>
      <w:tblGrid>
        <w:gridCol w:w="2920"/>
        <w:gridCol w:w="2300"/>
      </w:tblGrid>
      <w:tr w:rsidR="00F26C35" w:rsidRPr="00B271F0">
        <w:trPr>
          <w:trHeight w:val="171"/>
        </w:trPr>
        <w:tc>
          <w:tcPr>
            <w:tcW w:w="2920" w:type="dxa"/>
            <w:shd w:val="clear" w:color="auto" w:fill="auto"/>
            <w:vAlign w:val="bottom"/>
          </w:tcPr>
          <w:p w:rsidR="00F26C35" w:rsidRPr="00B271F0" w:rsidRDefault="009D3AD3">
            <w:pPr>
              <w:spacing w:line="0" w:lineRule="atLeast"/>
              <w:ind w:right="1773"/>
              <w:jc w:val="center"/>
              <w:rPr>
                <w:color w:val="999999"/>
                <w:w w:val="99"/>
                <w:sz w:val="13"/>
              </w:rPr>
            </w:pPr>
            <w:r>
              <w:rPr>
                <w:color w:val="999999"/>
                <w:w w:val="99"/>
                <w:sz w:val="13"/>
              </w:rPr>
              <w:t>RECTOR’S DIRECTIVE</w:t>
            </w:r>
          </w:p>
        </w:tc>
        <w:tc>
          <w:tcPr>
            <w:tcW w:w="2300" w:type="dxa"/>
            <w:shd w:val="clear" w:color="auto" w:fill="auto"/>
            <w:vAlign w:val="bottom"/>
          </w:tcPr>
          <w:p w:rsidR="00F26C35" w:rsidRPr="00B271F0" w:rsidRDefault="009D3AD3" w:rsidP="009D3AD3">
            <w:pPr>
              <w:spacing w:line="0" w:lineRule="atLeast"/>
              <w:ind w:left="1755"/>
              <w:jc w:val="right"/>
              <w:rPr>
                <w:color w:val="999999"/>
                <w:w w:val="99"/>
                <w:sz w:val="14"/>
              </w:rPr>
            </w:pPr>
            <w:r>
              <w:rPr>
                <w:color w:val="999999"/>
                <w:w w:val="99"/>
                <w:sz w:val="14"/>
              </w:rPr>
              <w:t>PAGE</w:t>
            </w:r>
          </w:p>
        </w:tc>
      </w:tr>
      <w:tr w:rsidR="00F26C35" w:rsidRPr="00B271F0">
        <w:trPr>
          <w:trHeight w:val="198"/>
        </w:trPr>
        <w:tc>
          <w:tcPr>
            <w:tcW w:w="2920" w:type="dxa"/>
            <w:shd w:val="clear" w:color="auto" w:fill="auto"/>
            <w:vAlign w:val="bottom"/>
          </w:tcPr>
          <w:p w:rsidR="00F26C35" w:rsidRPr="00E8651D" w:rsidRDefault="009D3AD3">
            <w:pPr>
              <w:spacing w:line="198" w:lineRule="exact"/>
              <w:ind w:right="1773"/>
              <w:jc w:val="center"/>
              <w:rPr>
                <w:b/>
                <w:color w:val="999999"/>
                <w:sz w:val="17"/>
              </w:rPr>
            </w:pPr>
            <w:r w:rsidRPr="00E8651D">
              <w:rPr>
                <w:b/>
                <w:color w:val="999999"/>
                <w:sz w:val="14"/>
              </w:rPr>
              <w:t>No</w:t>
            </w:r>
            <w:r w:rsidR="00C06FC3" w:rsidRPr="00E8651D">
              <w:rPr>
                <w:b/>
                <w:color w:val="999999"/>
                <w:sz w:val="17"/>
              </w:rPr>
              <w:t>. 2/2012</w:t>
            </w:r>
          </w:p>
        </w:tc>
        <w:tc>
          <w:tcPr>
            <w:tcW w:w="2300" w:type="dxa"/>
            <w:shd w:val="clear" w:color="auto" w:fill="auto"/>
            <w:vAlign w:val="bottom"/>
          </w:tcPr>
          <w:p w:rsidR="00F26C35" w:rsidRPr="00B271F0" w:rsidRDefault="00C06FC3" w:rsidP="009D3AD3">
            <w:pPr>
              <w:spacing w:line="197" w:lineRule="exact"/>
              <w:jc w:val="right"/>
              <w:rPr>
                <w:color w:val="808080"/>
              </w:rPr>
            </w:pPr>
            <w:r w:rsidRPr="00B271F0">
              <w:rPr>
                <w:color w:val="808080"/>
              </w:rPr>
              <w:t>2 / 3</w:t>
            </w:r>
          </w:p>
        </w:tc>
      </w:tr>
    </w:tbl>
    <w:p w:rsidR="00F26C35" w:rsidRPr="00B271F0" w:rsidRDefault="00504F0C">
      <w:pPr>
        <w:spacing w:line="20" w:lineRule="exact"/>
        <w:rPr>
          <w:rFonts w:ascii="Times New Roman" w:eastAsia="Times New Roman" w:hAnsi="Times New Roman"/>
        </w:rPr>
      </w:pPr>
      <w:r>
        <w:rPr>
          <w:color w:val="808080"/>
        </w:rPr>
        <w:pict>
          <v:shape id="_x0000_s1032" type="#_x0000_t75" style="position:absolute;margin-left:-3.3pt;margin-top:-15.95pt;width:27pt;height:16.9pt;z-index:-251658240;mso-position-horizontal-relative:text;mso-position-vertical-relative:text">
            <v:imagedata r:id="rId10" o:title=""/>
          </v:shape>
        </w:pict>
      </w:r>
    </w:p>
    <w:p w:rsidR="00F26C35" w:rsidRPr="00B271F0" w:rsidRDefault="00F26C35">
      <w:pPr>
        <w:spacing w:line="20" w:lineRule="exact"/>
        <w:rPr>
          <w:rFonts w:ascii="Times New Roman" w:eastAsia="Times New Roman" w:hAnsi="Times New Roman"/>
        </w:rPr>
        <w:sectPr w:rsidR="00F26C35" w:rsidRPr="00B271F0">
          <w:pgSz w:w="11900" w:h="16840"/>
          <w:pgMar w:top="1440" w:right="1400" w:bottom="247" w:left="1258" w:header="0" w:footer="0" w:gutter="0"/>
          <w:cols w:space="0" w:equalWidth="0">
            <w:col w:w="9242"/>
          </w:cols>
          <w:docGrid w:linePitch="360"/>
        </w:sectPr>
      </w:pPr>
    </w:p>
    <w:p w:rsidR="00F26C35" w:rsidRPr="00B271F0" w:rsidRDefault="00B271F0">
      <w:pPr>
        <w:spacing w:line="0" w:lineRule="atLeast"/>
        <w:ind w:right="58"/>
        <w:jc w:val="center"/>
        <w:rPr>
          <w:sz w:val="22"/>
        </w:rPr>
      </w:pPr>
      <w:bookmarkStart w:id="1" w:name="page3"/>
      <w:bookmarkEnd w:id="1"/>
      <w:r>
        <w:rPr>
          <w:sz w:val="22"/>
        </w:rPr>
        <w:lastRenderedPageBreak/>
        <w:t>Clause</w:t>
      </w:r>
      <w:r w:rsidR="00C06FC3" w:rsidRPr="00B271F0">
        <w:rPr>
          <w:sz w:val="22"/>
        </w:rPr>
        <w:t xml:space="preserve"> 3</w:t>
      </w:r>
    </w:p>
    <w:p w:rsidR="00F26C35" w:rsidRPr="009A7FA2" w:rsidRDefault="00F26C35">
      <w:pPr>
        <w:spacing w:line="43" w:lineRule="exact"/>
        <w:rPr>
          <w:rFonts w:ascii="Times New Roman" w:eastAsia="Times New Roman" w:hAnsi="Times New Roman"/>
          <w:b/>
        </w:rPr>
      </w:pPr>
    </w:p>
    <w:p w:rsidR="00F26C35" w:rsidRPr="009A7FA2" w:rsidRDefault="009D3AD3" w:rsidP="00023EA4">
      <w:pPr>
        <w:spacing w:after="120" w:line="0" w:lineRule="atLeast"/>
        <w:ind w:right="57"/>
        <w:jc w:val="center"/>
        <w:rPr>
          <w:rFonts w:ascii="Times New Roman" w:eastAsia="Times New Roman" w:hAnsi="Times New Roman"/>
          <w:b/>
        </w:rPr>
      </w:pPr>
      <w:r w:rsidRPr="009A7FA2">
        <w:rPr>
          <w:b/>
          <w:sz w:val="22"/>
        </w:rPr>
        <w:t>Final provisions</w:t>
      </w:r>
    </w:p>
    <w:p w:rsidR="00F26C35" w:rsidRPr="00023EA4" w:rsidRDefault="00C06FC3" w:rsidP="00D44424">
      <w:pPr>
        <w:numPr>
          <w:ilvl w:val="0"/>
          <w:numId w:val="5"/>
        </w:numPr>
        <w:tabs>
          <w:tab w:val="left" w:pos="362"/>
        </w:tabs>
        <w:spacing w:line="349" w:lineRule="exact"/>
        <w:ind w:left="362" w:hanging="362"/>
        <w:jc w:val="both"/>
        <w:rPr>
          <w:sz w:val="22"/>
        </w:rPr>
      </w:pPr>
      <w:r w:rsidRPr="00023EA4">
        <w:rPr>
          <w:sz w:val="22"/>
        </w:rPr>
        <w:t>T</w:t>
      </w:r>
      <w:r w:rsidR="009D3AD3">
        <w:rPr>
          <w:sz w:val="22"/>
        </w:rPr>
        <w:t>his Directive becomes valid on the day of its publication. This Di</w:t>
      </w:r>
      <w:r w:rsidR="00504F0C">
        <w:rPr>
          <w:sz w:val="22"/>
        </w:rPr>
        <w:t>rective becomes effective on 01 </w:t>
      </w:r>
      <w:bookmarkStart w:id="2" w:name="_GoBack"/>
      <w:bookmarkEnd w:id="2"/>
      <w:r w:rsidR="009D3AD3">
        <w:rPr>
          <w:sz w:val="22"/>
        </w:rPr>
        <w:t xml:space="preserve">February 2012. </w:t>
      </w:r>
    </w:p>
    <w:p w:rsidR="00F26C35" w:rsidRPr="00B271F0" w:rsidRDefault="00023EA4" w:rsidP="00023EA4">
      <w:pPr>
        <w:spacing w:before="480" w:after="840" w:line="0" w:lineRule="atLeast"/>
        <w:rPr>
          <w:sz w:val="22"/>
        </w:rPr>
      </w:pPr>
      <w:r>
        <w:rPr>
          <w:sz w:val="22"/>
        </w:rPr>
        <w:t xml:space="preserve">In Prague, on 25 January </w:t>
      </w:r>
      <w:r w:rsidR="00C06FC3" w:rsidRPr="00B271F0">
        <w:rPr>
          <w:sz w:val="22"/>
        </w:rPr>
        <w:t>2012</w:t>
      </w:r>
    </w:p>
    <w:p w:rsidR="00F26C35" w:rsidRPr="00E8651D" w:rsidRDefault="00C06FC3">
      <w:pPr>
        <w:spacing w:line="0" w:lineRule="atLeast"/>
        <w:ind w:left="5602"/>
        <w:rPr>
          <w:i/>
          <w:sz w:val="22"/>
        </w:rPr>
      </w:pPr>
      <w:r w:rsidRPr="00B271F0">
        <w:rPr>
          <w:sz w:val="22"/>
        </w:rPr>
        <w:t xml:space="preserve">prof. </w:t>
      </w:r>
      <w:proofErr w:type="spellStart"/>
      <w:r w:rsidRPr="00B271F0">
        <w:rPr>
          <w:sz w:val="22"/>
        </w:rPr>
        <w:t>Ing</w:t>
      </w:r>
      <w:proofErr w:type="spellEnd"/>
      <w:r w:rsidRPr="00B271F0">
        <w:rPr>
          <w:sz w:val="22"/>
        </w:rPr>
        <w:t xml:space="preserve">. Jiří </w:t>
      </w:r>
      <w:proofErr w:type="spellStart"/>
      <w:r w:rsidRPr="00B271F0">
        <w:rPr>
          <w:sz w:val="22"/>
        </w:rPr>
        <w:t>Balík</w:t>
      </w:r>
      <w:proofErr w:type="spellEnd"/>
      <w:r w:rsidRPr="00B271F0">
        <w:rPr>
          <w:sz w:val="22"/>
        </w:rPr>
        <w:t xml:space="preserve">, </w:t>
      </w:r>
      <w:proofErr w:type="spellStart"/>
      <w:r w:rsidRPr="00B271F0">
        <w:rPr>
          <w:sz w:val="22"/>
        </w:rPr>
        <w:t>CSc</w:t>
      </w:r>
      <w:proofErr w:type="spellEnd"/>
      <w:r w:rsidRPr="00B271F0">
        <w:rPr>
          <w:sz w:val="22"/>
        </w:rPr>
        <w:t xml:space="preserve">., </w:t>
      </w:r>
      <w:r w:rsidR="006029F6">
        <w:rPr>
          <w:sz w:val="22"/>
        </w:rPr>
        <w:t xml:space="preserve">Rector, </w:t>
      </w:r>
      <w:proofErr w:type="spellStart"/>
      <w:r w:rsidR="006029F6" w:rsidRPr="00E8651D">
        <w:rPr>
          <w:i/>
          <w:sz w:val="22"/>
        </w:rPr>
        <w:t>m.p</w:t>
      </w:r>
      <w:proofErr w:type="spellEnd"/>
      <w:r w:rsidR="006029F6" w:rsidRPr="00E8651D">
        <w:rPr>
          <w:i/>
          <w:sz w:val="22"/>
        </w:rPr>
        <w:t>.</w:t>
      </w:r>
    </w:p>
    <w:p w:rsidR="00F26C35" w:rsidRPr="00B271F0" w:rsidRDefault="00F26C35">
      <w:pPr>
        <w:spacing w:line="20" w:lineRule="exact"/>
        <w:rPr>
          <w:rFonts w:ascii="Times New Roman" w:eastAsia="Times New Roman" w:hAnsi="Times New Roman"/>
        </w:rPr>
      </w:pPr>
    </w:p>
    <w:p w:rsidR="00F26C35" w:rsidRPr="00B271F0" w:rsidRDefault="00504F0C" w:rsidP="006404DA">
      <w:pPr>
        <w:spacing w:before="10080" w:line="395" w:lineRule="exact"/>
        <w:rPr>
          <w:rFonts w:ascii="Times New Roman" w:eastAsia="Times New Roman" w:hAnsi="Times New Roman"/>
        </w:rPr>
      </w:pPr>
      <w:r>
        <w:rPr>
          <w:sz w:val="22"/>
        </w:rPr>
        <w:pict>
          <v:line id="_x0000_s1033" style="position:absolute;z-index:-251657216" from="-8.75pt,514.2pt" to="466.9pt,514.2pt" o:userdrawn="t" strokecolor="#999" strokeweight=".16931mm"/>
        </w:pict>
      </w:r>
    </w:p>
    <w:tbl>
      <w:tblPr>
        <w:tblW w:w="0" w:type="auto"/>
        <w:tblInd w:w="4002" w:type="dxa"/>
        <w:tblLayout w:type="fixed"/>
        <w:tblCellMar>
          <w:left w:w="0" w:type="dxa"/>
          <w:right w:w="0" w:type="dxa"/>
        </w:tblCellMar>
        <w:tblLook w:val="0000" w:firstRow="0" w:lastRow="0" w:firstColumn="0" w:lastColumn="0" w:noHBand="0" w:noVBand="0"/>
      </w:tblPr>
      <w:tblGrid>
        <w:gridCol w:w="2920"/>
        <w:gridCol w:w="2300"/>
      </w:tblGrid>
      <w:tr w:rsidR="00F26C35" w:rsidRPr="00B271F0">
        <w:trPr>
          <w:trHeight w:val="171"/>
        </w:trPr>
        <w:tc>
          <w:tcPr>
            <w:tcW w:w="2920" w:type="dxa"/>
            <w:shd w:val="clear" w:color="auto" w:fill="auto"/>
            <w:vAlign w:val="bottom"/>
          </w:tcPr>
          <w:p w:rsidR="00F26C35" w:rsidRPr="00B271F0" w:rsidRDefault="00023EA4">
            <w:pPr>
              <w:spacing w:line="0" w:lineRule="atLeast"/>
              <w:ind w:right="1773"/>
              <w:jc w:val="center"/>
              <w:rPr>
                <w:color w:val="999999"/>
                <w:w w:val="99"/>
                <w:sz w:val="13"/>
              </w:rPr>
            </w:pPr>
            <w:r>
              <w:rPr>
                <w:color w:val="999999"/>
                <w:w w:val="99"/>
                <w:sz w:val="13"/>
              </w:rPr>
              <w:t>RECTOR’S DIRECTIVE</w:t>
            </w:r>
          </w:p>
        </w:tc>
        <w:tc>
          <w:tcPr>
            <w:tcW w:w="2300" w:type="dxa"/>
            <w:shd w:val="clear" w:color="auto" w:fill="auto"/>
            <w:vAlign w:val="bottom"/>
          </w:tcPr>
          <w:p w:rsidR="00F26C35" w:rsidRPr="00B271F0" w:rsidRDefault="00023EA4" w:rsidP="009D3AD3">
            <w:pPr>
              <w:spacing w:line="0" w:lineRule="atLeast"/>
              <w:ind w:left="1755"/>
              <w:jc w:val="right"/>
              <w:rPr>
                <w:color w:val="999999"/>
                <w:w w:val="99"/>
                <w:sz w:val="14"/>
              </w:rPr>
            </w:pPr>
            <w:r>
              <w:rPr>
                <w:color w:val="999999"/>
                <w:w w:val="99"/>
                <w:sz w:val="14"/>
              </w:rPr>
              <w:t>PAGE</w:t>
            </w:r>
          </w:p>
        </w:tc>
      </w:tr>
      <w:tr w:rsidR="00F26C35" w:rsidRPr="00B271F0">
        <w:trPr>
          <w:trHeight w:val="198"/>
        </w:trPr>
        <w:tc>
          <w:tcPr>
            <w:tcW w:w="2920" w:type="dxa"/>
            <w:shd w:val="clear" w:color="auto" w:fill="auto"/>
            <w:vAlign w:val="bottom"/>
          </w:tcPr>
          <w:p w:rsidR="00F26C35" w:rsidRPr="00E8651D" w:rsidRDefault="00023EA4">
            <w:pPr>
              <w:spacing w:line="198" w:lineRule="exact"/>
              <w:ind w:right="1773"/>
              <w:jc w:val="center"/>
              <w:rPr>
                <w:b/>
                <w:color w:val="999999"/>
                <w:sz w:val="17"/>
              </w:rPr>
            </w:pPr>
            <w:r w:rsidRPr="00E8651D">
              <w:rPr>
                <w:b/>
                <w:color w:val="999999"/>
                <w:sz w:val="14"/>
              </w:rPr>
              <w:t>No</w:t>
            </w:r>
            <w:r w:rsidR="00C06FC3" w:rsidRPr="00E8651D">
              <w:rPr>
                <w:b/>
                <w:color w:val="999999"/>
                <w:sz w:val="17"/>
              </w:rPr>
              <w:t>. 2/2012</w:t>
            </w:r>
          </w:p>
        </w:tc>
        <w:tc>
          <w:tcPr>
            <w:tcW w:w="2300" w:type="dxa"/>
            <w:shd w:val="clear" w:color="auto" w:fill="auto"/>
            <w:vAlign w:val="bottom"/>
          </w:tcPr>
          <w:p w:rsidR="00F26C35" w:rsidRPr="00B271F0" w:rsidRDefault="00C06FC3" w:rsidP="009D3AD3">
            <w:pPr>
              <w:spacing w:line="197" w:lineRule="exact"/>
              <w:jc w:val="right"/>
              <w:rPr>
                <w:color w:val="808080"/>
              </w:rPr>
            </w:pPr>
            <w:r w:rsidRPr="00B271F0">
              <w:rPr>
                <w:color w:val="808080"/>
              </w:rPr>
              <w:t>3 / 3</w:t>
            </w:r>
          </w:p>
        </w:tc>
      </w:tr>
    </w:tbl>
    <w:p w:rsidR="00F26C35" w:rsidRPr="00B271F0" w:rsidRDefault="00504F0C">
      <w:pPr>
        <w:spacing w:line="20" w:lineRule="exact"/>
        <w:rPr>
          <w:rFonts w:ascii="Times New Roman" w:eastAsia="Times New Roman" w:hAnsi="Times New Roman"/>
        </w:rPr>
      </w:pPr>
      <w:r>
        <w:rPr>
          <w:color w:val="808080"/>
        </w:rPr>
        <w:pict>
          <v:shape id="_x0000_s1034" type="#_x0000_t75" style="position:absolute;margin-left:-3.3pt;margin-top:-15.95pt;width:27pt;height:16.9pt;z-index:-251656192;mso-position-horizontal-relative:text;mso-position-vertical-relative:text">
            <v:imagedata r:id="rId10" o:title=""/>
          </v:shape>
        </w:pict>
      </w:r>
    </w:p>
    <w:sectPr w:rsidR="00F26C35" w:rsidRPr="00B271F0">
      <w:pgSz w:w="11900" w:h="16840"/>
      <w:pgMar w:top="1394" w:right="1420" w:bottom="247" w:left="1258" w:header="0" w:footer="0" w:gutter="0"/>
      <w:cols w:space="0" w:equalWidth="0">
        <w:col w:w="922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4E0" w:rsidRDefault="00B354E0" w:rsidP="006404DA">
      <w:r>
        <w:separator/>
      </w:r>
    </w:p>
  </w:endnote>
  <w:endnote w:type="continuationSeparator" w:id="0">
    <w:p w:rsidR="00B354E0" w:rsidRDefault="00B354E0" w:rsidP="0064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DA" w:rsidRDefault="006404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4E0" w:rsidRDefault="00B354E0" w:rsidP="006404DA">
      <w:r>
        <w:separator/>
      </w:r>
    </w:p>
  </w:footnote>
  <w:footnote w:type="continuationSeparator" w:id="0">
    <w:p w:rsidR="00B354E0" w:rsidRDefault="00B354E0" w:rsidP="00640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9495CFE"/>
    <w:lvl w:ilvl="0" w:tplc="0D18A554">
      <w:start w:val="1"/>
      <w:numFmt w:val="decimal"/>
      <w:lvlText w:val="(%1)"/>
      <w:lvlJc w:val="left"/>
    </w:lvl>
    <w:lvl w:ilvl="1" w:tplc="FF4CA084">
      <w:start w:val="1"/>
      <w:numFmt w:val="bullet"/>
      <w:lvlText w:val=""/>
      <w:lvlJc w:val="left"/>
    </w:lvl>
    <w:lvl w:ilvl="2" w:tplc="5B6EF254">
      <w:start w:val="1"/>
      <w:numFmt w:val="bullet"/>
      <w:lvlText w:val=""/>
      <w:lvlJc w:val="left"/>
    </w:lvl>
    <w:lvl w:ilvl="3" w:tplc="303CE70E">
      <w:start w:val="1"/>
      <w:numFmt w:val="bullet"/>
      <w:lvlText w:val=""/>
      <w:lvlJc w:val="left"/>
    </w:lvl>
    <w:lvl w:ilvl="4" w:tplc="C2FCF0AC">
      <w:start w:val="1"/>
      <w:numFmt w:val="bullet"/>
      <w:lvlText w:val=""/>
      <w:lvlJc w:val="left"/>
    </w:lvl>
    <w:lvl w:ilvl="5" w:tplc="791826AE">
      <w:start w:val="1"/>
      <w:numFmt w:val="bullet"/>
      <w:lvlText w:val=""/>
      <w:lvlJc w:val="left"/>
    </w:lvl>
    <w:lvl w:ilvl="6" w:tplc="57F0E812">
      <w:start w:val="1"/>
      <w:numFmt w:val="bullet"/>
      <w:lvlText w:val=""/>
      <w:lvlJc w:val="left"/>
    </w:lvl>
    <w:lvl w:ilvl="7" w:tplc="843A3222">
      <w:start w:val="1"/>
      <w:numFmt w:val="bullet"/>
      <w:lvlText w:val=""/>
      <w:lvlJc w:val="left"/>
    </w:lvl>
    <w:lvl w:ilvl="8" w:tplc="A712E124">
      <w:start w:val="1"/>
      <w:numFmt w:val="bullet"/>
      <w:lvlText w:val=""/>
      <w:lvlJc w:val="left"/>
    </w:lvl>
  </w:abstractNum>
  <w:abstractNum w:abstractNumId="1" w15:restartNumberingAfterBreak="0">
    <w:nsid w:val="00000002"/>
    <w:multiLevelType w:val="hybridMultilevel"/>
    <w:tmpl w:val="2AE8944A"/>
    <w:lvl w:ilvl="0" w:tplc="3F5CF92C">
      <w:start w:val="1"/>
      <w:numFmt w:val="decimal"/>
      <w:lvlText w:val="(%1)"/>
      <w:lvlJc w:val="left"/>
    </w:lvl>
    <w:lvl w:ilvl="1" w:tplc="8EB8ABBC">
      <w:start w:val="1"/>
      <w:numFmt w:val="bullet"/>
      <w:lvlText w:val=""/>
      <w:lvlJc w:val="left"/>
    </w:lvl>
    <w:lvl w:ilvl="2" w:tplc="C66A8D08">
      <w:start w:val="1"/>
      <w:numFmt w:val="bullet"/>
      <w:lvlText w:val=""/>
      <w:lvlJc w:val="left"/>
    </w:lvl>
    <w:lvl w:ilvl="3" w:tplc="038A0A12">
      <w:start w:val="1"/>
      <w:numFmt w:val="bullet"/>
      <w:lvlText w:val=""/>
      <w:lvlJc w:val="left"/>
    </w:lvl>
    <w:lvl w:ilvl="4" w:tplc="CA328AB8">
      <w:start w:val="1"/>
      <w:numFmt w:val="bullet"/>
      <w:lvlText w:val=""/>
      <w:lvlJc w:val="left"/>
    </w:lvl>
    <w:lvl w:ilvl="5" w:tplc="236A0326">
      <w:start w:val="1"/>
      <w:numFmt w:val="bullet"/>
      <w:lvlText w:val=""/>
      <w:lvlJc w:val="left"/>
    </w:lvl>
    <w:lvl w:ilvl="6" w:tplc="487E9B44">
      <w:start w:val="1"/>
      <w:numFmt w:val="bullet"/>
      <w:lvlText w:val=""/>
      <w:lvlJc w:val="left"/>
    </w:lvl>
    <w:lvl w:ilvl="7" w:tplc="0E92476E">
      <w:start w:val="1"/>
      <w:numFmt w:val="bullet"/>
      <w:lvlText w:val=""/>
      <w:lvlJc w:val="left"/>
    </w:lvl>
    <w:lvl w:ilvl="8" w:tplc="CF8CCFFA">
      <w:start w:val="1"/>
      <w:numFmt w:val="bullet"/>
      <w:lvlText w:val=""/>
      <w:lvlJc w:val="left"/>
    </w:lvl>
  </w:abstractNum>
  <w:abstractNum w:abstractNumId="2" w15:restartNumberingAfterBreak="0">
    <w:nsid w:val="00000003"/>
    <w:multiLevelType w:val="hybridMultilevel"/>
    <w:tmpl w:val="625558EC"/>
    <w:lvl w:ilvl="0" w:tplc="D3B6669E">
      <w:start w:val="5"/>
      <w:numFmt w:val="decimal"/>
      <w:lvlText w:val="(%1)"/>
      <w:lvlJc w:val="left"/>
    </w:lvl>
    <w:lvl w:ilvl="1" w:tplc="5AF60EA4">
      <w:start w:val="1"/>
      <w:numFmt w:val="bullet"/>
      <w:lvlText w:val="·"/>
      <w:lvlJc w:val="left"/>
    </w:lvl>
    <w:lvl w:ilvl="2" w:tplc="19AE7254">
      <w:start w:val="1"/>
      <w:numFmt w:val="bullet"/>
      <w:lvlText w:val=""/>
      <w:lvlJc w:val="left"/>
    </w:lvl>
    <w:lvl w:ilvl="3" w:tplc="8CCAA7FA">
      <w:start w:val="1"/>
      <w:numFmt w:val="bullet"/>
      <w:lvlText w:val=""/>
      <w:lvlJc w:val="left"/>
    </w:lvl>
    <w:lvl w:ilvl="4" w:tplc="D0A6FA32">
      <w:start w:val="1"/>
      <w:numFmt w:val="bullet"/>
      <w:lvlText w:val=""/>
      <w:lvlJc w:val="left"/>
    </w:lvl>
    <w:lvl w:ilvl="5" w:tplc="E0326DA4">
      <w:start w:val="1"/>
      <w:numFmt w:val="bullet"/>
      <w:lvlText w:val=""/>
      <w:lvlJc w:val="left"/>
    </w:lvl>
    <w:lvl w:ilvl="6" w:tplc="961C5EB2">
      <w:start w:val="1"/>
      <w:numFmt w:val="bullet"/>
      <w:lvlText w:val=""/>
      <w:lvlJc w:val="left"/>
    </w:lvl>
    <w:lvl w:ilvl="7" w:tplc="3CAE41AA">
      <w:start w:val="1"/>
      <w:numFmt w:val="bullet"/>
      <w:lvlText w:val=""/>
      <w:lvlJc w:val="left"/>
    </w:lvl>
    <w:lvl w:ilvl="8" w:tplc="A3407CB6">
      <w:start w:val="1"/>
      <w:numFmt w:val="bullet"/>
      <w:lvlText w:val=""/>
      <w:lvlJc w:val="left"/>
    </w:lvl>
  </w:abstractNum>
  <w:abstractNum w:abstractNumId="3" w15:restartNumberingAfterBreak="0">
    <w:nsid w:val="00000004"/>
    <w:multiLevelType w:val="hybridMultilevel"/>
    <w:tmpl w:val="238E1F28"/>
    <w:lvl w:ilvl="0" w:tplc="C33EA37E">
      <w:start w:val="10"/>
      <w:numFmt w:val="decimal"/>
      <w:lvlText w:val="(%1)"/>
      <w:lvlJc w:val="left"/>
    </w:lvl>
    <w:lvl w:ilvl="1" w:tplc="968AD42A">
      <w:start w:val="1"/>
      <w:numFmt w:val="bullet"/>
      <w:lvlText w:val=""/>
      <w:lvlJc w:val="left"/>
    </w:lvl>
    <w:lvl w:ilvl="2" w:tplc="E4DA33E0">
      <w:start w:val="1"/>
      <w:numFmt w:val="bullet"/>
      <w:lvlText w:val=""/>
      <w:lvlJc w:val="left"/>
    </w:lvl>
    <w:lvl w:ilvl="3" w:tplc="6F0CC320">
      <w:start w:val="1"/>
      <w:numFmt w:val="bullet"/>
      <w:lvlText w:val=""/>
      <w:lvlJc w:val="left"/>
    </w:lvl>
    <w:lvl w:ilvl="4" w:tplc="499A1446">
      <w:start w:val="1"/>
      <w:numFmt w:val="bullet"/>
      <w:lvlText w:val=""/>
      <w:lvlJc w:val="left"/>
    </w:lvl>
    <w:lvl w:ilvl="5" w:tplc="277E8530">
      <w:start w:val="1"/>
      <w:numFmt w:val="bullet"/>
      <w:lvlText w:val=""/>
      <w:lvlJc w:val="left"/>
    </w:lvl>
    <w:lvl w:ilvl="6" w:tplc="F0FC8738">
      <w:start w:val="1"/>
      <w:numFmt w:val="bullet"/>
      <w:lvlText w:val=""/>
      <w:lvlJc w:val="left"/>
    </w:lvl>
    <w:lvl w:ilvl="7" w:tplc="140C804A">
      <w:start w:val="1"/>
      <w:numFmt w:val="bullet"/>
      <w:lvlText w:val=""/>
      <w:lvlJc w:val="left"/>
    </w:lvl>
    <w:lvl w:ilvl="8" w:tplc="38187460">
      <w:start w:val="1"/>
      <w:numFmt w:val="bullet"/>
      <w:lvlText w:val=""/>
      <w:lvlJc w:val="left"/>
    </w:lvl>
  </w:abstractNum>
  <w:abstractNum w:abstractNumId="4" w15:restartNumberingAfterBreak="0">
    <w:nsid w:val="00000005"/>
    <w:multiLevelType w:val="hybridMultilevel"/>
    <w:tmpl w:val="46E87CCC"/>
    <w:lvl w:ilvl="0" w:tplc="98F8EB18">
      <w:start w:val="1"/>
      <w:numFmt w:val="decimal"/>
      <w:lvlText w:val="(%1)"/>
      <w:lvlJc w:val="left"/>
    </w:lvl>
    <w:lvl w:ilvl="1" w:tplc="BFE6906A">
      <w:start w:val="1"/>
      <w:numFmt w:val="bullet"/>
      <w:lvlText w:val=""/>
      <w:lvlJc w:val="left"/>
    </w:lvl>
    <w:lvl w:ilvl="2" w:tplc="BB5C3F10">
      <w:start w:val="1"/>
      <w:numFmt w:val="bullet"/>
      <w:lvlText w:val=""/>
      <w:lvlJc w:val="left"/>
    </w:lvl>
    <w:lvl w:ilvl="3" w:tplc="D9B6C6F0">
      <w:start w:val="1"/>
      <w:numFmt w:val="bullet"/>
      <w:lvlText w:val=""/>
      <w:lvlJc w:val="left"/>
    </w:lvl>
    <w:lvl w:ilvl="4" w:tplc="80B64B8E">
      <w:start w:val="1"/>
      <w:numFmt w:val="bullet"/>
      <w:lvlText w:val=""/>
      <w:lvlJc w:val="left"/>
    </w:lvl>
    <w:lvl w:ilvl="5" w:tplc="DFBCD5EE">
      <w:start w:val="1"/>
      <w:numFmt w:val="bullet"/>
      <w:lvlText w:val=""/>
      <w:lvlJc w:val="left"/>
    </w:lvl>
    <w:lvl w:ilvl="6" w:tplc="B5E2529A">
      <w:start w:val="1"/>
      <w:numFmt w:val="bullet"/>
      <w:lvlText w:val=""/>
      <w:lvlJc w:val="left"/>
    </w:lvl>
    <w:lvl w:ilvl="7" w:tplc="366AD470">
      <w:start w:val="1"/>
      <w:numFmt w:val="bullet"/>
      <w:lvlText w:val=""/>
      <w:lvlJc w:val="left"/>
    </w:lvl>
    <w:lvl w:ilvl="8" w:tplc="6F381972">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FC3"/>
    <w:rsid w:val="00023EA4"/>
    <w:rsid w:val="001A0D20"/>
    <w:rsid w:val="001A68D9"/>
    <w:rsid w:val="001E445C"/>
    <w:rsid w:val="001F15FE"/>
    <w:rsid w:val="00504F0C"/>
    <w:rsid w:val="006029F6"/>
    <w:rsid w:val="006404DA"/>
    <w:rsid w:val="00717C72"/>
    <w:rsid w:val="007737FA"/>
    <w:rsid w:val="00775DF7"/>
    <w:rsid w:val="00780B0D"/>
    <w:rsid w:val="00846584"/>
    <w:rsid w:val="008548A6"/>
    <w:rsid w:val="008A643C"/>
    <w:rsid w:val="009A7FA2"/>
    <w:rsid w:val="009D3AD3"/>
    <w:rsid w:val="00AE509C"/>
    <w:rsid w:val="00B271F0"/>
    <w:rsid w:val="00B354E0"/>
    <w:rsid w:val="00BA684D"/>
    <w:rsid w:val="00BB63BC"/>
    <w:rsid w:val="00C06FC3"/>
    <w:rsid w:val="00DB78E5"/>
    <w:rsid w:val="00E8651D"/>
    <w:rsid w:val="00EC02F1"/>
    <w:rsid w:val="00F26C35"/>
    <w:rsid w:val="00F85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E82388"/>
  <w15:chartTrackingRefBased/>
  <w15:docId w15:val="{4B4DA118-4839-4EF2-BF27-8C8CBBFB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04DA"/>
    <w:pPr>
      <w:tabs>
        <w:tab w:val="center" w:pos="4536"/>
        <w:tab w:val="right" w:pos="9072"/>
      </w:tabs>
    </w:pPr>
  </w:style>
  <w:style w:type="character" w:customStyle="1" w:styleId="ZhlavChar">
    <w:name w:val="Záhlaví Char"/>
    <w:link w:val="Zhlav"/>
    <w:uiPriority w:val="99"/>
    <w:rsid w:val="006404DA"/>
    <w:rPr>
      <w:lang w:val="en-GB"/>
    </w:rPr>
  </w:style>
  <w:style w:type="paragraph" w:styleId="Zpat">
    <w:name w:val="footer"/>
    <w:basedOn w:val="Normln"/>
    <w:link w:val="ZpatChar"/>
    <w:uiPriority w:val="99"/>
    <w:unhideWhenUsed/>
    <w:rsid w:val="006404DA"/>
    <w:pPr>
      <w:tabs>
        <w:tab w:val="center" w:pos="4536"/>
        <w:tab w:val="right" w:pos="9072"/>
      </w:tabs>
    </w:pPr>
  </w:style>
  <w:style w:type="character" w:customStyle="1" w:styleId="ZpatChar">
    <w:name w:val="Zápatí Char"/>
    <w:link w:val="Zpat"/>
    <w:uiPriority w:val="99"/>
    <w:rsid w:val="006404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11952">
      <w:bodyDiv w:val="1"/>
      <w:marLeft w:val="0"/>
      <w:marRight w:val="0"/>
      <w:marTop w:val="0"/>
      <w:marBottom w:val="0"/>
      <w:divBdr>
        <w:top w:val="none" w:sz="0" w:space="0" w:color="auto"/>
        <w:left w:val="none" w:sz="0" w:space="0" w:color="auto"/>
        <w:bottom w:val="none" w:sz="0" w:space="0" w:color="auto"/>
        <w:right w:val="none" w:sz="0" w:space="0" w:color="auto"/>
      </w:divBdr>
      <w:divsChild>
        <w:div w:id="1550725510">
          <w:marLeft w:val="0"/>
          <w:marRight w:val="0"/>
          <w:marTop w:val="0"/>
          <w:marBottom w:val="0"/>
          <w:divBdr>
            <w:top w:val="none" w:sz="0" w:space="0" w:color="auto"/>
            <w:left w:val="none" w:sz="0" w:space="0" w:color="auto"/>
            <w:bottom w:val="none" w:sz="0" w:space="0" w:color="auto"/>
            <w:right w:val="none" w:sz="0" w:space="0" w:color="auto"/>
          </w:divBdr>
          <w:divsChild>
            <w:div w:id="729108948">
              <w:marLeft w:val="0"/>
              <w:marRight w:val="0"/>
              <w:marTop w:val="0"/>
              <w:marBottom w:val="225"/>
              <w:divBdr>
                <w:top w:val="none" w:sz="0" w:space="0" w:color="auto"/>
                <w:left w:val="none" w:sz="0" w:space="0" w:color="auto"/>
                <w:bottom w:val="none" w:sz="0" w:space="0" w:color="auto"/>
                <w:right w:val="none" w:sz="0" w:space="0" w:color="auto"/>
              </w:divBdr>
              <w:divsChild>
                <w:div w:id="2139567325">
                  <w:marLeft w:val="150"/>
                  <w:marRight w:val="0"/>
                  <w:marTop w:val="0"/>
                  <w:marBottom w:val="0"/>
                  <w:divBdr>
                    <w:top w:val="none" w:sz="0" w:space="0" w:color="auto"/>
                    <w:left w:val="none" w:sz="0" w:space="0" w:color="auto"/>
                    <w:bottom w:val="none" w:sz="0" w:space="0" w:color="auto"/>
                    <w:right w:val="none" w:sz="0" w:space="0" w:color="auto"/>
                  </w:divBdr>
                </w:div>
              </w:divsChild>
            </w:div>
            <w:div w:id="1658263179">
              <w:marLeft w:val="0"/>
              <w:marRight w:val="0"/>
              <w:marTop w:val="0"/>
              <w:marBottom w:val="0"/>
              <w:divBdr>
                <w:top w:val="none" w:sz="0" w:space="0" w:color="auto"/>
                <w:left w:val="none" w:sz="0" w:space="0" w:color="auto"/>
                <w:bottom w:val="none" w:sz="0" w:space="0" w:color="auto"/>
                <w:right w:val="none" w:sz="0" w:space="0" w:color="auto"/>
              </w:divBdr>
              <w:divsChild>
                <w:div w:id="89552580">
                  <w:marLeft w:val="0"/>
                  <w:marRight w:val="0"/>
                  <w:marTop w:val="0"/>
                  <w:marBottom w:val="0"/>
                  <w:divBdr>
                    <w:top w:val="none" w:sz="0" w:space="0" w:color="auto"/>
                    <w:left w:val="none" w:sz="0" w:space="0" w:color="auto"/>
                    <w:bottom w:val="none" w:sz="0" w:space="0" w:color="auto"/>
                    <w:right w:val="none" w:sz="0" w:space="0" w:color="auto"/>
                  </w:divBdr>
                  <w:divsChild>
                    <w:div w:id="15842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2889">
          <w:marLeft w:val="0"/>
          <w:marRight w:val="0"/>
          <w:marTop w:val="0"/>
          <w:marBottom w:val="0"/>
          <w:divBdr>
            <w:top w:val="single" w:sz="6" w:space="8" w:color="CCCCCC"/>
            <w:left w:val="none" w:sz="0" w:space="0" w:color="auto"/>
            <w:bottom w:val="none" w:sz="0" w:space="0" w:color="auto"/>
            <w:right w:val="none" w:sz="0" w:space="0" w:color="auto"/>
          </w:divBdr>
        </w:div>
      </w:divsChild>
    </w:div>
    <w:div w:id="1421869747">
      <w:bodyDiv w:val="1"/>
      <w:marLeft w:val="0"/>
      <w:marRight w:val="0"/>
      <w:marTop w:val="0"/>
      <w:marBottom w:val="0"/>
      <w:divBdr>
        <w:top w:val="none" w:sz="0" w:space="0" w:color="auto"/>
        <w:left w:val="none" w:sz="0" w:space="0" w:color="auto"/>
        <w:bottom w:val="none" w:sz="0" w:space="0" w:color="auto"/>
        <w:right w:val="none" w:sz="0" w:space="0" w:color="auto"/>
      </w:divBdr>
      <w:divsChild>
        <w:div w:id="1900478934">
          <w:marLeft w:val="0"/>
          <w:marRight w:val="0"/>
          <w:marTop w:val="0"/>
          <w:marBottom w:val="0"/>
          <w:divBdr>
            <w:top w:val="none" w:sz="0" w:space="0" w:color="auto"/>
            <w:left w:val="none" w:sz="0" w:space="0" w:color="auto"/>
            <w:bottom w:val="none" w:sz="0" w:space="0" w:color="auto"/>
            <w:right w:val="none" w:sz="0" w:space="0" w:color="auto"/>
          </w:divBdr>
          <w:divsChild>
            <w:div w:id="1825193506">
              <w:marLeft w:val="0"/>
              <w:marRight w:val="0"/>
              <w:marTop w:val="0"/>
              <w:marBottom w:val="225"/>
              <w:divBdr>
                <w:top w:val="none" w:sz="0" w:space="0" w:color="auto"/>
                <w:left w:val="none" w:sz="0" w:space="0" w:color="auto"/>
                <w:bottom w:val="none" w:sz="0" w:space="0" w:color="auto"/>
                <w:right w:val="none" w:sz="0" w:space="0" w:color="auto"/>
              </w:divBdr>
              <w:divsChild>
                <w:div w:id="1370254553">
                  <w:marLeft w:val="150"/>
                  <w:marRight w:val="0"/>
                  <w:marTop w:val="0"/>
                  <w:marBottom w:val="0"/>
                  <w:divBdr>
                    <w:top w:val="none" w:sz="0" w:space="0" w:color="auto"/>
                    <w:left w:val="none" w:sz="0" w:space="0" w:color="auto"/>
                    <w:bottom w:val="none" w:sz="0" w:space="0" w:color="auto"/>
                    <w:right w:val="none" w:sz="0" w:space="0" w:color="auto"/>
                  </w:divBdr>
                </w:div>
              </w:divsChild>
            </w:div>
            <w:div w:id="990409756">
              <w:marLeft w:val="0"/>
              <w:marRight w:val="0"/>
              <w:marTop w:val="0"/>
              <w:marBottom w:val="0"/>
              <w:divBdr>
                <w:top w:val="none" w:sz="0" w:space="0" w:color="auto"/>
                <w:left w:val="none" w:sz="0" w:space="0" w:color="auto"/>
                <w:bottom w:val="none" w:sz="0" w:space="0" w:color="auto"/>
                <w:right w:val="none" w:sz="0" w:space="0" w:color="auto"/>
              </w:divBdr>
              <w:divsChild>
                <w:div w:id="216404034">
                  <w:marLeft w:val="0"/>
                  <w:marRight w:val="0"/>
                  <w:marTop w:val="0"/>
                  <w:marBottom w:val="0"/>
                  <w:divBdr>
                    <w:top w:val="none" w:sz="0" w:space="0" w:color="auto"/>
                    <w:left w:val="none" w:sz="0" w:space="0" w:color="auto"/>
                    <w:bottom w:val="none" w:sz="0" w:space="0" w:color="auto"/>
                    <w:right w:val="none" w:sz="0" w:space="0" w:color="auto"/>
                  </w:divBdr>
                  <w:divsChild>
                    <w:div w:id="11972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37483">
          <w:marLeft w:val="0"/>
          <w:marRight w:val="0"/>
          <w:marTop w:val="0"/>
          <w:marBottom w:val="0"/>
          <w:divBdr>
            <w:top w:val="single" w:sz="6" w:space="8" w:color="CCCCCC"/>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858</Words>
  <Characters>5066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Šímová</dc:creator>
  <cp:keywords/>
  <cp:lastModifiedBy>Martina Hrbková</cp:lastModifiedBy>
  <cp:revision>3</cp:revision>
  <dcterms:created xsi:type="dcterms:W3CDTF">2020-03-03T11:19:00Z</dcterms:created>
  <dcterms:modified xsi:type="dcterms:W3CDTF">2020-03-03T11:25:00Z</dcterms:modified>
</cp:coreProperties>
</file>